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A7B3" w14:textId="5D9EB977" w:rsidR="00E37282" w:rsidRPr="007C1071" w:rsidRDefault="00E37282" w:rsidP="00E37282">
      <w:pPr>
        <w:pStyle w:val="NormalWeb"/>
        <w:shd w:val="clear" w:color="auto" w:fill="FFFFFF"/>
        <w:ind w:left="-851" w:right="-483" w:firstLine="567"/>
        <w:jc w:val="both"/>
        <w:rPr>
          <w:color w:val="212529"/>
          <w:sz w:val="26"/>
          <w:szCs w:val="26"/>
        </w:rPr>
      </w:pPr>
      <w:r w:rsidRPr="007C1071">
        <w:rPr>
          <w:color w:val="212529"/>
          <w:sz w:val="26"/>
          <w:szCs w:val="26"/>
        </w:rPr>
        <w:t>Patērētāju strīdu risināšanas komisija (turpmāk – Komisija)</w:t>
      </w:r>
      <w:r>
        <w:rPr>
          <w:color w:val="212529"/>
          <w:sz w:val="26"/>
          <w:szCs w:val="26"/>
        </w:rPr>
        <w:t xml:space="preserve"> </w:t>
      </w:r>
      <w:r w:rsidRPr="007C1071">
        <w:rPr>
          <w:color w:val="212529"/>
          <w:sz w:val="26"/>
          <w:szCs w:val="26"/>
        </w:rPr>
        <w:t xml:space="preserve">ir </w:t>
      </w:r>
      <w:proofErr w:type="spellStart"/>
      <w:r w:rsidRPr="007C1071">
        <w:rPr>
          <w:color w:val="212529"/>
          <w:sz w:val="26"/>
          <w:szCs w:val="26"/>
        </w:rPr>
        <w:t>ārpustiesas</w:t>
      </w:r>
      <w:proofErr w:type="spellEnd"/>
      <w:r w:rsidRPr="007C1071">
        <w:rPr>
          <w:color w:val="212529"/>
          <w:sz w:val="26"/>
          <w:szCs w:val="26"/>
        </w:rPr>
        <w:t xml:space="preserve"> strīdu risināšanas mehānisms, kas izveidots, lai patērētājiem būtu iespēja savu strīdu ar pārdevēju vai pakalpojuma sniedzēju risināt bez maksas, ātrāk, efektīvāk salīdzinājumā ar strīda izskatīšanu tiesā. </w:t>
      </w:r>
      <w:r w:rsidRPr="007C1071">
        <w:rPr>
          <w:sz w:val="26"/>
          <w:szCs w:val="26"/>
        </w:rPr>
        <w:t xml:space="preserve">Komisijas sastāvu veido komisijas priekšsēdētājs un komisijas locekļi, kas ir komersantu biedrību un patērētāju tiesību aizsardzības biedrību pārstāvji. Komisijas priekšsēdētāju sarakstā ir iekļauti </w:t>
      </w:r>
      <w:r>
        <w:rPr>
          <w:sz w:val="26"/>
          <w:szCs w:val="26"/>
        </w:rPr>
        <w:t>trīs</w:t>
      </w:r>
      <w:r w:rsidRPr="007C1071">
        <w:rPr>
          <w:sz w:val="26"/>
          <w:szCs w:val="26"/>
        </w:rPr>
        <w:t xml:space="preserve"> komisijas priekšsēdētāji – bijušie tiesneši. Patērētāju tiesību aizsardzību Komisijā nodrošina biedrība “Latvijas Patērētāju interešu aizstāvības asociācija”. Komisijas darbību nodrošina Patērētāju tiesību aizsardzības centrs.</w:t>
      </w:r>
      <w:r w:rsidRPr="007C1071">
        <w:rPr>
          <w:color w:val="212529"/>
          <w:sz w:val="26"/>
          <w:szCs w:val="26"/>
        </w:rPr>
        <w:t xml:space="preserve"> </w:t>
      </w:r>
      <w:r>
        <w:rPr>
          <w:color w:val="212529"/>
          <w:sz w:val="26"/>
          <w:szCs w:val="26"/>
        </w:rPr>
        <w:t>Lai gan</w:t>
      </w:r>
      <w:r w:rsidRPr="007C1071">
        <w:rPr>
          <w:color w:val="212529"/>
          <w:sz w:val="26"/>
          <w:szCs w:val="26"/>
        </w:rPr>
        <w:t xml:space="preserve"> Komisijas lēmumiem ir tikai rekomendējošs raksturs, ja komersanti lēmumu neizpilda 30 dienu laikā, </w:t>
      </w:r>
      <w:r w:rsidR="00497E8B">
        <w:rPr>
          <w:color w:val="212529"/>
          <w:sz w:val="26"/>
          <w:szCs w:val="26"/>
        </w:rPr>
        <w:t>informācija par komersantiem, kas nav izpildījuši lēmumus,</w:t>
      </w:r>
      <w:r w:rsidR="00497E8B" w:rsidRPr="007C1071">
        <w:rPr>
          <w:color w:val="212529"/>
          <w:sz w:val="26"/>
          <w:szCs w:val="26"/>
        </w:rPr>
        <w:t xml:space="preserve"> </w:t>
      </w:r>
      <w:r w:rsidRPr="007C1071">
        <w:rPr>
          <w:color w:val="212529"/>
          <w:sz w:val="26"/>
          <w:szCs w:val="26"/>
        </w:rPr>
        <w:t>tiek ievietoti PTAC mājaslapā publicētajā Melnajā sarakstā</w:t>
      </w:r>
      <w:r w:rsidRPr="00E07AF4">
        <w:t xml:space="preserve"> </w:t>
      </w:r>
      <w:r>
        <w:t xml:space="preserve"> </w:t>
      </w:r>
      <w:hyperlink r:id="rId4" w:history="1">
        <w:r w:rsidR="00A84A15" w:rsidRPr="00583CD3">
          <w:rPr>
            <w:rStyle w:val="Hyperlink"/>
          </w:rPr>
          <w:t>https://registri.ptac.gov.lv/registri/melnais-saraksts</w:t>
        </w:r>
      </w:hyperlink>
      <w:r w:rsidR="00A84A15">
        <w:t xml:space="preserve">. </w:t>
      </w:r>
    </w:p>
    <w:p w14:paraId="1B04DF00" w14:textId="77777777" w:rsidR="00A84A15" w:rsidRDefault="00E37282" w:rsidP="00E37282">
      <w:pPr>
        <w:pStyle w:val="NormalWeb"/>
        <w:shd w:val="clear" w:color="auto" w:fill="FFFFFF"/>
        <w:ind w:left="-851" w:right="-483" w:firstLine="567"/>
        <w:jc w:val="both"/>
        <w:rPr>
          <w:color w:val="212529"/>
          <w:sz w:val="26"/>
          <w:szCs w:val="26"/>
        </w:rPr>
      </w:pPr>
      <w:r w:rsidRPr="007C1071">
        <w:rPr>
          <w:color w:val="212529"/>
          <w:sz w:val="26"/>
          <w:szCs w:val="26"/>
        </w:rPr>
        <w:t>202</w:t>
      </w:r>
      <w:r w:rsidR="00A84A15">
        <w:rPr>
          <w:color w:val="212529"/>
          <w:sz w:val="26"/>
          <w:szCs w:val="26"/>
        </w:rPr>
        <w:t>3</w:t>
      </w:r>
      <w:r w:rsidRPr="007C1071">
        <w:rPr>
          <w:color w:val="212529"/>
          <w:sz w:val="26"/>
          <w:szCs w:val="26"/>
        </w:rPr>
        <w:t>. gadā Komisiju bija iespējams sasaukt tādās jomās  kā mobilie telefoni, datortehnika,</w:t>
      </w:r>
      <w:r w:rsidR="00A84A15">
        <w:rPr>
          <w:color w:val="212529"/>
          <w:sz w:val="26"/>
          <w:szCs w:val="26"/>
        </w:rPr>
        <w:t xml:space="preserve"> apavu, apģērbi, tekstilizstrādājumi, kažokādas, tai skaitā apģērbu šūšana un labošana, koferi un somas, dārza tehnika,</w:t>
      </w:r>
      <w:r w:rsidR="00467B69">
        <w:rPr>
          <w:color w:val="212529"/>
          <w:sz w:val="26"/>
          <w:szCs w:val="26"/>
        </w:rPr>
        <w:t xml:space="preserve"> elektriski skrejriteņi, roboti – putekļsūcēji,</w:t>
      </w:r>
      <w:r w:rsidRPr="007C1071">
        <w:rPr>
          <w:color w:val="212529"/>
          <w:sz w:val="26"/>
          <w:szCs w:val="26"/>
        </w:rPr>
        <w:t xml:space="preserve"> </w:t>
      </w:r>
      <w:r w:rsidR="00A84A15">
        <w:rPr>
          <w:color w:val="212529"/>
          <w:sz w:val="26"/>
          <w:szCs w:val="26"/>
        </w:rPr>
        <w:t xml:space="preserve">kokrūpniecības produkti, kokapstrāde un mēbeles, </w:t>
      </w:r>
      <w:r w:rsidR="00A84A15" w:rsidRPr="007C1071">
        <w:rPr>
          <w:color w:val="212529"/>
          <w:sz w:val="26"/>
          <w:szCs w:val="26"/>
        </w:rPr>
        <w:t>logi un durvis (tai skaitā montāža)</w:t>
      </w:r>
      <w:r w:rsidR="00A84A15">
        <w:rPr>
          <w:color w:val="212529"/>
          <w:sz w:val="26"/>
          <w:szCs w:val="26"/>
        </w:rPr>
        <w:t xml:space="preserve">, </w:t>
      </w:r>
      <w:r w:rsidRPr="007C1071">
        <w:rPr>
          <w:color w:val="212529"/>
          <w:sz w:val="26"/>
          <w:szCs w:val="26"/>
        </w:rPr>
        <w:t xml:space="preserve">distances līgumi, auto tirdzniecība un autoremonts, avio un kuģu pasažieru tiesības, tūrisms, telekomunikācijas, elektroniskie sakari, optika un </w:t>
      </w:r>
      <w:proofErr w:type="spellStart"/>
      <w:r w:rsidRPr="007C1071">
        <w:rPr>
          <w:color w:val="212529"/>
          <w:sz w:val="26"/>
          <w:szCs w:val="26"/>
        </w:rPr>
        <w:t>optometrija</w:t>
      </w:r>
      <w:proofErr w:type="spellEnd"/>
      <w:r w:rsidRPr="007C1071">
        <w:rPr>
          <w:color w:val="212529"/>
          <w:sz w:val="26"/>
          <w:szCs w:val="26"/>
        </w:rPr>
        <w:t xml:space="preserve">, būvizstrādājumi un jumiķa pakalpojumi, finanšu pakalpojumi, būvniecības pakalpojumi, plastmasas izstrādājumi, juridiskie </w:t>
      </w:r>
      <w:r w:rsidR="00A52D38">
        <w:rPr>
          <w:color w:val="212529"/>
          <w:sz w:val="26"/>
          <w:szCs w:val="26"/>
        </w:rPr>
        <w:t>jautājumi</w:t>
      </w:r>
      <w:r w:rsidR="00A84A15">
        <w:rPr>
          <w:color w:val="212529"/>
          <w:sz w:val="26"/>
          <w:szCs w:val="26"/>
        </w:rPr>
        <w:t xml:space="preserve">. </w:t>
      </w:r>
    </w:p>
    <w:p w14:paraId="2D2BF7FA" w14:textId="002E6422" w:rsidR="00E37282" w:rsidRPr="007C1071" w:rsidRDefault="00E37282" w:rsidP="00E37282">
      <w:pPr>
        <w:pStyle w:val="NormalWeb"/>
        <w:shd w:val="clear" w:color="auto" w:fill="FFFFFF"/>
        <w:ind w:left="-851" w:right="-483" w:firstLine="567"/>
        <w:jc w:val="both"/>
        <w:rPr>
          <w:color w:val="212529"/>
          <w:sz w:val="26"/>
          <w:szCs w:val="26"/>
        </w:rPr>
      </w:pPr>
      <w:r w:rsidRPr="007C1071">
        <w:rPr>
          <w:color w:val="212529"/>
          <w:sz w:val="26"/>
          <w:szCs w:val="26"/>
        </w:rPr>
        <w:t>202</w:t>
      </w:r>
      <w:r w:rsidR="00A84A15">
        <w:rPr>
          <w:color w:val="212529"/>
          <w:sz w:val="26"/>
          <w:szCs w:val="26"/>
        </w:rPr>
        <w:t>3</w:t>
      </w:r>
      <w:r w:rsidRPr="007C1071">
        <w:rPr>
          <w:color w:val="212529"/>
          <w:sz w:val="26"/>
          <w:szCs w:val="26"/>
        </w:rPr>
        <w:t xml:space="preserve">.gadā </w:t>
      </w:r>
      <w:r>
        <w:rPr>
          <w:color w:val="212529"/>
          <w:sz w:val="26"/>
          <w:szCs w:val="26"/>
        </w:rPr>
        <w:t xml:space="preserve">Komisija darbu </w:t>
      </w:r>
      <w:r w:rsidR="00467B69">
        <w:rPr>
          <w:color w:val="212529"/>
          <w:sz w:val="26"/>
          <w:szCs w:val="26"/>
        </w:rPr>
        <w:t xml:space="preserve">turpināja </w:t>
      </w:r>
      <w:r>
        <w:rPr>
          <w:color w:val="212529"/>
          <w:sz w:val="26"/>
          <w:szCs w:val="26"/>
        </w:rPr>
        <w:t>vei</w:t>
      </w:r>
      <w:r w:rsidR="00467B69">
        <w:rPr>
          <w:color w:val="212529"/>
          <w:sz w:val="26"/>
          <w:szCs w:val="26"/>
        </w:rPr>
        <w:t>kt</w:t>
      </w:r>
      <w:r>
        <w:rPr>
          <w:color w:val="212529"/>
          <w:sz w:val="26"/>
          <w:szCs w:val="26"/>
        </w:rPr>
        <w:t xml:space="preserve"> attālināti, tas ir, Komisijas sēdes norisinājās tiešsaistē</w:t>
      </w:r>
      <w:r w:rsidR="00467B69">
        <w:rPr>
          <w:color w:val="212529"/>
          <w:sz w:val="26"/>
          <w:szCs w:val="26"/>
        </w:rPr>
        <w:t>.</w:t>
      </w:r>
      <w:r w:rsidR="00A52D38">
        <w:rPr>
          <w:color w:val="212529"/>
          <w:sz w:val="26"/>
          <w:szCs w:val="26"/>
        </w:rPr>
        <w:t xml:space="preserve"> </w:t>
      </w:r>
      <w:r w:rsidR="00497E8B">
        <w:rPr>
          <w:color w:val="212529"/>
          <w:sz w:val="26"/>
          <w:szCs w:val="26"/>
        </w:rPr>
        <w:t xml:space="preserve">Iespēja </w:t>
      </w:r>
      <w:r w:rsidR="00A52D38">
        <w:rPr>
          <w:color w:val="212529"/>
          <w:sz w:val="26"/>
          <w:szCs w:val="26"/>
        </w:rPr>
        <w:t xml:space="preserve">Komisijas sēdes </w:t>
      </w:r>
      <w:r w:rsidR="00497E8B">
        <w:rPr>
          <w:color w:val="212529"/>
          <w:sz w:val="26"/>
          <w:szCs w:val="26"/>
        </w:rPr>
        <w:t xml:space="preserve">organizēt tiešsaistē </w:t>
      </w:r>
      <w:r w:rsidR="00A52D38">
        <w:rPr>
          <w:color w:val="212529"/>
          <w:sz w:val="26"/>
          <w:szCs w:val="26"/>
        </w:rPr>
        <w:t>veicina Komisijā izskatīto lietu skaitu pieaugumu</w:t>
      </w:r>
      <w:r w:rsidR="0010758C">
        <w:rPr>
          <w:color w:val="212529"/>
          <w:sz w:val="26"/>
          <w:szCs w:val="26"/>
        </w:rPr>
        <w:t>.</w:t>
      </w:r>
    </w:p>
    <w:p w14:paraId="0AD4F782" w14:textId="1313611E" w:rsidR="00E37282" w:rsidRPr="007C1071" w:rsidRDefault="00E37282" w:rsidP="00E37282">
      <w:pPr>
        <w:pStyle w:val="NormalWeb"/>
        <w:shd w:val="clear" w:color="auto" w:fill="FFFFFF"/>
        <w:ind w:left="-851" w:right="-483" w:firstLine="567"/>
        <w:jc w:val="both"/>
        <w:rPr>
          <w:color w:val="212529"/>
          <w:sz w:val="26"/>
          <w:szCs w:val="26"/>
        </w:rPr>
      </w:pPr>
      <w:r w:rsidRPr="007C1071">
        <w:rPr>
          <w:color w:val="212529"/>
          <w:sz w:val="26"/>
          <w:szCs w:val="26"/>
        </w:rPr>
        <w:t xml:space="preserve"> Komisijā tika saņemti </w:t>
      </w:r>
      <w:r>
        <w:rPr>
          <w:color w:val="212529"/>
          <w:sz w:val="26"/>
          <w:szCs w:val="26"/>
        </w:rPr>
        <w:t>2</w:t>
      </w:r>
      <w:r w:rsidR="00A84A15">
        <w:rPr>
          <w:color w:val="212529"/>
          <w:sz w:val="26"/>
          <w:szCs w:val="26"/>
        </w:rPr>
        <w:t>23</w:t>
      </w:r>
      <w:r w:rsidRPr="007C1071">
        <w:rPr>
          <w:color w:val="212529"/>
          <w:sz w:val="26"/>
          <w:szCs w:val="26"/>
        </w:rPr>
        <w:t xml:space="preserve"> iesniegumi, kas </w:t>
      </w:r>
      <w:r w:rsidR="00467B69">
        <w:rPr>
          <w:color w:val="212529"/>
          <w:sz w:val="26"/>
          <w:szCs w:val="26"/>
        </w:rPr>
        <w:t xml:space="preserve">ir nedaudz mazāk </w:t>
      </w:r>
      <w:r w:rsidRPr="007C1071">
        <w:rPr>
          <w:color w:val="212529"/>
          <w:sz w:val="26"/>
          <w:szCs w:val="26"/>
        </w:rPr>
        <w:t>kā 20</w:t>
      </w:r>
      <w:r>
        <w:rPr>
          <w:color w:val="212529"/>
          <w:sz w:val="26"/>
          <w:szCs w:val="26"/>
        </w:rPr>
        <w:t>2</w:t>
      </w:r>
      <w:r w:rsidR="00A84A15">
        <w:rPr>
          <w:color w:val="212529"/>
          <w:sz w:val="26"/>
          <w:szCs w:val="26"/>
        </w:rPr>
        <w:t>2</w:t>
      </w:r>
      <w:r w:rsidRPr="007C1071">
        <w:rPr>
          <w:color w:val="212529"/>
          <w:sz w:val="26"/>
          <w:szCs w:val="26"/>
        </w:rPr>
        <w:t>. gadā</w:t>
      </w:r>
      <w:r>
        <w:rPr>
          <w:color w:val="212529"/>
          <w:sz w:val="26"/>
          <w:szCs w:val="26"/>
        </w:rPr>
        <w:t xml:space="preserve"> (</w:t>
      </w:r>
      <w:r w:rsidR="00467B69">
        <w:rPr>
          <w:color w:val="212529"/>
          <w:sz w:val="26"/>
          <w:szCs w:val="26"/>
        </w:rPr>
        <w:t>2</w:t>
      </w:r>
      <w:r w:rsidR="00A84A15">
        <w:rPr>
          <w:color w:val="212529"/>
          <w:sz w:val="26"/>
          <w:szCs w:val="26"/>
        </w:rPr>
        <w:t>45</w:t>
      </w:r>
      <w:r>
        <w:rPr>
          <w:color w:val="212529"/>
          <w:sz w:val="26"/>
          <w:szCs w:val="26"/>
        </w:rPr>
        <w:t xml:space="preserve"> iesniegumi)</w:t>
      </w:r>
      <w:r w:rsidRPr="007C1071">
        <w:rPr>
          <w:color w:val="212529"/>
          <w:sz w:val="26"/>
          <w:szCs w:val="26"/>
        </w:rPr>
        <w:t xml:space="preserve">. Salīdzinot saņemto iesniegumu skaitu kopš Komisijas darbības uzsākšanas 2016.gadā, secināms, ka patērētāji ir izteikuši uzticību Komisijai kā alternatīvam </w:t>
      </w:r>
      <w:proofErr w:type="spellStart"/>
      <w:r w:rsidRPr="007C1071">
        <w:rPr>
          <w:color w:val="212529"/>
          <w:sz w:val="26"/>
          <w:szCs w:val="26"/>
        </w:rPr>
        <w:t>ārpustiesas</w:t>
      </w:r>
      <w:proofErr w:type="spellEnd"/>
      <w:r w:rsidRPr="007C1071">
        <w:rPr>
          <w:color w:val="212529"/>
          <w:sz w:val="26"/>
          <w:szCs w:val="26"/>
        </w:rPr>
        <w:t xml:space="preserve"> strīdu risinātājam</w:t>
      </w:r>
      <w:r w:rsidR="00467B69">
        <w:rPr>
          <w:color w:val="212529"/>
          <w:sz w:val="26"/>
          <w:szCs w:val="26"/>
        </w:rPr>
        <w:t>.</w:t>
      </w:r>
    </w:p>
    <w:p w14:paraId="2727E6DB" w14:textId="5FF930AB" w:rsidR="00E37282" w:rsidRPr="007A236B" w:rsidRDefault="00E37282" w:rsidP="00E37282">
      <w:pPr>
        <w:pStyle w:val="NormalWeb"/>
        <w:shd w:val="clear" w:color="auto" w:fill="FFFFFF"/>
        <w:ind w:left="-851" w:right="-483" w:firstLine="567"/>
        <w:jc w:val="center"/>
        <w:rPr>
          <w:color w:val="212529"/>
          <w:sz w:val="26"/>
          <w:szCs w:val="26"/>
        </w:rPr>
      </w:pPr>
      <w:r w:rsidRPr="00CE682D">
        <w:rPr>
          <w:color w:val="212529"/>
          <w:sz w:val="26"/>
          <w:szCs w:val="26"/>
        </w:rPr>
        <w:t xml:space="preserve"> </w:t>
      </w:r>
      <w:r w:rsidR="0010758C" w:rsidRPr="0010758C">
        <w:rPr>
          <w:noProof/>
        </w:rPr>
        <w:t xml:space="preserve"> </w:t>
      </w:r>
      <w:r w:rsidR="0010758C">
        <w:rPr>
          <w:noProof/>
        </w:rPr>
        <w:drawing>
          <wp:inline distT="0" distB="0" distL="0" distR="0" wp14:anchorId="5F099EEF" wp14:editId="0F231277">
            <wp:extent cx="4572000" cy="2743200"/>
            <wp:effectExtent l="0" t="0" r="0" b="0"/>
            <wp:docPr id="2" name="Chart 2">
              <a:extLst xmlns:a="http://schemas.openxmlformats.org/drawingml/2006/main">
                <a:ext uri="{FF2B5EF4-FFF2-40B4-BE49-F238E27FC236}">
                  <a16:creationId xmlns:a16="http://schemas.microsoft.com/office/drawing/2014/main" id="{BF97BD7D-5A33-F738-EC56-7604A3585E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0D034FA" w14:textId="26E9A40F" w:rsidR="00E37282" w:rsidRPr="00497D8B" w:rsidRDefault="00E37282" w:rsidP="00E37282">
      <w:pPr>
        <w:pStyle w:val="NormalWeb"/>
        <w:shd w:val="clear" w:color="auto" w:fill="FFFFFF"/>
        <w:ind w:left="-851" w:right="-483" w:firstLine="567"/>
        <w:jc w:val="both"/>
        <w:rPr>
          <w:color w:val="212529"/>
          <w:sz w:val="26"/>
          <w:szCs w:val="26"/>
        </w:rPr>
      </w:pPr>
      <w:r w:rsidRPr="00497D8B">
        <w:rPr>
          <w:color w:val="212529"/>
          <w:sz w:val="26"/>
          <w:szCs w:val="26"/>
        </w:rPr>
        <w:t>202</w:t>
      </w:r>
      <w:r w:rsidR="00ED3C5F">
        <w:rPr>
          <w:color w:val="212529"/>
          <w:sz w:val="26"/>
          <w:szCs w:val="26"/>
        </w:rPr>
        <w:t>3</w:t>
      </w:r>
      <w:r w:rsidRPr="00497D8B">
        <w:rPr>
          <w:color w:val="212529"/>
          <w:sz w:val="26"/>
          <w:szCs w:val="26"/>
        </w:rPr>
        <w:t>. gadā Komisija saņēmusi patērētāju pretenzijas par sekojošām tēmām:</w:t>
      </w:r>
    </w:p>
    <w:p w14:paraId="3DA1267B" w14:textId="77777777" w:rsidR="00ED3C5F" w:rsidRPr="00497D8B" w:rsidRDefault="00ED3C5F" w:rsidP="00ED3C5F">
      <w:pPr>
        <w:pStyle w:val="NormalWeb"/>
        <w:shd w:val="clear" w:color="auto" w:fill="FFFFFF"/>
        <w:ind w:left="-851" w:right="-483" w:firstLine="567"/>
        <w:jc w:val="both"/>
        <w:rPr>
          <w:color w:val="212529"/>
          <w:sz w:val="26"/>
          <w:szCs w:val="26"/>
        </w:rPr>
      </w:pPr>
      <w:r w:rsidRPr="00497D8B">
        <w:rPr>
          <w:noProof/>
          <w:color w:val="212529"/>
          <w:sz w:val="26"/>
          <w:szCs w:val="26"/>
        </w:rPr>
        <w:lastRenderedPageBreak/>
        <w:drawing>
          <wp:inline distT="0" distB="0" distL="0" distR="0" wp14:anchorId="6A4E214F" wp14:editId="5260D1BA">
            <wp:extent cx="260350" cy="260350"/>
            <wp:effectExtent l="0" t="0" r="0" b="6350"/>
            <wp:docPr id="8" name="Graphic 8" descr="Shopping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oppingbag.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60350" cy="260350"/>
                    </a:xfrm>
                    <a:prstGeom prst="rect">
                      <a:avLst/>
                    </a:prstGeom>
                  </pic:spPr>
                </pic:pic>
              </a:graphicData>
            </a:graphic>
          </wp:inline>
        </w:drawing>
      </w:r>
      <w:r w:rsidRPr="00497D8B">
        <w:rPr>
          <w:color w:val="212529"/>
          <w:sz w:val="26"/>
          <w:szCs w:val="26"/>
        </w:rPr>
        <w:t xml:space="preserve"> par preces atbilstību līguma noteikumiem – </w:t>
      </w:r>
      <w:r>
        <w:rPr>
          <w:color w:val="212529"/>
          <w:sz w:val="26"/>
          <w:szCs w:val="26"/>
        </w:rPr>
        <w:t>110</w:t>
      </w:r>
    </w:p>
    <w:p w14:paraId="0E8D375C" w14:textId="55F44770" w:rsidR="00E37282" w:rsidRPr="00497D8B" w:rsidRDefault="00E37282" w:rsidP="00E37282">
      <w:pPr>
        <w:pStyle w:val="NormalWeb"/>
        <w:shd w:val="clear" w:color="auto" w:fill="FFFFFF"/>
        <w:ind w:left="-851" w:right="-483" w:firstLine="567"/>
        <w:jc w:val="both"/>
        <w:rPr>
          <w:color w:val="212529"/>
          <w:sz w:val="26"/>
          <w:szCs w:val="26"/>
        </w:rPr>
      </w:pPr>
      <w:r w:rsidRPr="00497D8B">
        <w:rPr>
          <w:noProof/>
          <w:color w:val="212529"/>
          <w:sz w:val="26"/>
          <w:szCs w:val="26"/>
        </w:rPr>
        <w:drawing>
          <wp:inline distT="0" distB="0" distL="0" distR="0" wp14:anchorId="5CB79E98" wp14:editId="0B4C07E3">
            <wp:extent cx="260350" cy="260350"/>
            <wp:effectExtent l="0" t="0" r="0" b="6350"/>
            <wp:docPr id="5" name="Graphic 5"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opwatch.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60350" cy="260350"/>
                    </a:xfrm>
                    <a:prstGeom prst="rect">
                      <a:avLst/>
                    </a:prstGeom>
                  </pic:spPr>
                </pic:pic>
              </a:graphicData>
            </a:graphic>
          </wp:inline>
        </w:drawing>
      </w:r>
      <w:r w:rsidRPr="00497D8B">
        <w:rPr>
          <w:color w:val="212529"/>
          <w:sz w:val="26"/>
          <w:szCs w:val="26"/>
        </w:rPr>
        <w:t xml:space="preserve"> par </w:t>
      </w:r>
      <w:r>
        <w:rPr>
          <w:color w:val="212529"/>
          <w:sz w:val="26"/>
          <w:szCs w:val="26"/>
        </w:rPr>
        <w:t xml:space="preserve">preces </w:t>
      </w:r>
      <w:proofErr w:type="spellStart"/>
      <w:r>
        <w:rPr>
          <w:color w:val="212529"/>
          <w:sz w:val="26"/>
          <w:szCs w:val="26"/>
        </w:rPr>
        <w:t>nepiegādi</w:t>
      </w:r>
      <w:proofErr w:type="spellEnd"/>
      <w:r>
        <w:rPr>
          <w:color w:val="212529"/>
          <w:sz w:val="26"/>
          <w:szCs w:val="26"/>
        </w:rPr>
        <w:t xml:space="preserve"> vai pakalpojuma nesniegšanu termiņā</w:t>
      </w:r>
      <w:r w:rsidRPr="00497D8B">
        <w:rPr>
          <w:color w:val="212529"/>
          <w:sz w:val="26"/>
          <w:szCs w:val="26"/>
        </w:rPr>
        <w:t xml:space="preserve"> –</w:t>
      </w:r>
      <w:r w:rsidR="00ED3C5F">
        <w:rPr>
          <w:color w:val="212529"/>
          <w:sz w:val="26"/>
          <w:szCs w:val="26"/>
        </w:rPr>
        <w:t>57</w:t>
      </w:r>
    </w:p>
    <w:p w14:paraId="1B918EA2" w14:textId="55C80FD7" w:rsidR="00E37282" w:rsidRPr="00497D8B" w:rsidRDefault="00E37282" w:rsidP="00E37282">
      <w:pPr>
        <w:pStyle w:val="NormalWeb"/>
        <w:shd w:val="clear" w:color="auto" w:fill="FFFFFF"/>
        <w:ind w:left="-851" w:right="-483" w:firstLine="567"/>
        <w:jc w:val="both"/>
        <w:rPr>
          <w:color w:val="212529"/>
          <w:sz w:val="26"/>
          <w:szCs w:val="26"/>
        </w:rPr>
      </w:pPr>
      <w:r w:rsidRPr="00497D8B">
        <w:rPr>
          <w:noProof/>
          <w:color w:val="212529"/>
          <w:sz w:val="26"/>
          <w:szCs w:val="26"/>
        </w:rPr>
        <w:drawing>
          <wp:inline distT="0" distB="0" distL="0" distR="0" wp14:anchorId="1DD18920" wp14:editId="0A865C02">
            <wp:extent cx="304800" cy="304800"/>
            <wp:effectExtent l="0" t="0" r="0" b="0"/>
            <wp:docPr id="9" name="Graphic 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terne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4800" cy="304800"/>
                    </a:xfrm>
                    <a:prstGeom prst="rect">
                      <a:avLst/>
                    </a:prstGeom>
                  </pic:spPr>
                </pic:pic>
              </a:graphicData>
            </a:graphic>
          </wp:inline>
        </w:drawing>
      </w:r>
      <w:r w:rsidRPr="00497D8B">
        <w:rPr>
          <w:color w:val="212529"/>
          <w:sz w:val="26"/>
          <w:szCs w:val="26"/>
        </w:rPr>
        <w:t xml:space="preserve"> par atteikuma tiesībām – </w:t>
      </w:r>
      <w:r w:rsidR="00ED3C5F">
        <w:rPr>
          <w:color w:val="212529"/>
          <w:sz w:val="26"/>
          <w:szCs w:val="26"/>
        </w:rPr>
        <w:t>23</w:t>
      </w:r>
    </w:p>
    <w:p w14:paraId="3A199234" w14:textId="753A10C9" w:rsidR="00E37282" w:rsidRPr="00497D8B" w:rsidRDefault="007C6CB2" w:rsidP="00E37282">
      <w:pPr>
        <w:pStyle w:val="NormalWeb"/>
        <w:shd w:val="clear" w:color="auto" w:fill="FFFFFF"/>
        <w:ind w:left="-851" w:right="-483" w:firstLine="567"/>
        <w:jc w:val="both"/>
        <w:rPr>
          <w:color w:val="212529"/>
          <w:sz w:val="26"/>
          <w:szCs w:val="26"/>
        </w:rPr>
      </w:pPr>
      <w:r w:rsidRPr="00497D8B">
        <w:rPr>
          <w:noProof/>
          <w:color w:val="212529"/>
          <w:sz w:val="26"/>
          <w:szCs w:val="26"/>
        </w:rPr>
        <w:drawing>
          <wp:inline distT="0" distB="0" distL="0" distR="0" wp14:anchorId="49992CDA" wp14:editId="145A7EA4">
            <wp:extent cx="254000" cy="254000"/>
            <wp:effectExtent l="0" t="0" r="0" b="0"/>
            <wp:docPr id="11" name="Graphic 11" descr="H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k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8643" cy="258643"/>
                    </a:xfrm>
                    <a:prstGeom prst="rect">
                      <a:avLst/>
                    </a:prstGeom>
                  </pic:spPr>
                </pic:pic>
              </a:graphicData>
            </a:graphic>
          </wp:inline>
        </w:drawing>
      </w:r>
      <w:r>
        <w:rPr>
          <w:color w:val="212529"/>
          <w:sz w:val="26"/>
          <w:szCs w:val="26"/>
        </w:rPr>
        <w:t xml:space="preserve"> </w:t>
      </w:r>
      <w:r w:rsidR="00E37282" w:rsidRPr="00497D8B">
        <w:rPr>
          <w:color w:val="212529"/>
          <w:sz w:val="26"/>
          <w:szCs w:val="26"/>
        </w:rPr>
        <w:t xml:space="preserve">par tūrisma pakalpojumiem – </w:t>
      </w:r>
      <w:r w:rsidR="00ED3C5F">
        <w:rPr>
          <w:color w:val="212529"/>
          <w:sz w:val="26"/>
          <w:szCs w:val="26"/>
        </w:rPr>
        <w:t>11</w:t>
      </w:r>
      <w:r w:rsidR="00E37282" w:rsidRPr="00497D8B">
        <w:rPr>
          <w:color w:val="212529"/>
          <w:sz w:val="26"/>
          <w:szCs w:val="26"/>
        </w:rPr>
        <w:t xml:space="preserve"> </w:t>
      </w:r>
    </w:p>
    <w:p w14:paraId="020A94F5" w14:textId="173BBC6A" w:rsidR="00E37282" w:rsidRPr="00497D8B" w:rsidRDefault="00E37282" w:rsidP="00E37282">
      <w:pPr>
        <w:pStyle w:val="NormalWeb"/>
        <w:shd w:val="clear" w:color="auto" w:fill="FFFFFF"/>
        <w:ind w:left="-851" w:right="-483" w:firstLine="567"/>
        <w:jc w:val="both"/>
        <w:rPr>
          <w:color w:val="212529"/>
          <w:sz w:val="26"/>
          <w:szCs w:val="26"/>
        </w:rPr>
      </w:pPr>
      <w:r w:rsidRPr="00497D8B">
        <w:rPr>
          <w:noProof/>
          <w:color w:val="212529"/>
          <w:sz w:val="26"/>
          <w:szCs w:val="26"/>
        </w:rPr>
        <w:drawing>
          <wp:inline distT="0" distB="0" distL="0" distR="0" wp14:anchorId="6586D0CA" wp14:editId="0004BCB7">
            <wp:extent cx="254000" cy="254000"/>
            <wp:effectExtent l="0" t="0" r="0" b="0"/>
            <wp:docPr id="12" name="Graphic 12" descr="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ols.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372" cy="262372"/>
                    </a:xfrm>
                    <a:prstGeom prst="rect">
                      <a:avLst/>
                    </a:prstGeom>
                  </pic:spPr>
                </pic:pic>
              </a:graphicData>
            </a:graphic>
          </wp:inline>
        </w:drawing>
      </w:r>
      <w:r w:rsidRPr="00497D8B">
        <w:rPr>
          <w:color w:val="212529"/>
          <w:sz w:val="26"/>
          <w:szCs w:val="26"/>
        </w:rPr>
        <w:t xml:space="preserve"> </w:t>
      </w:r>
      <w:r w:rsidR="007C6CB2">
        <w:rPr>
          <w:color w:val="212529"/>
          <w:sz w:val="26"/>
          <w:szCs w:val="26"/>
        </w:rPr>
        <w:t xml:space="preserve"> </w:t>
      </w:r>
      <w:r w:rsidRPr="00497D8B">
        <w:rPr>
          <w:color w:val="212529"/>
          <w:sz w:val="26"/>
          <w:szCs w:val="26"/>
        </w:rPr>
        <w:t>par pakalpojuma atbilstīb</w:t>
      </w:r>
      <w:r w:rsidR="007A017E">
        <w:rPr>
          <w:color w:val="212529"/>
          <w:sz w:val="26"/>
          <w:szCs w:val="26"/>
        </w:rPr>
        <w:t>u</w:t>
      </w:r>
      <w:r w:rsidRPr="00497D8B">
        <w:rPr>
          <w:color w:val="212529"/>
          <w:sz w:val="26"/>
          <w:szCs w:val="26"/>
        </w:rPr>
        <w:t xml:space="preserve"> līguma noteikumiem - </w:t>
      </w:r>
      <w:r w:rsidR="00ED3C5F">
        <w:rPr>
          <w:color w:val="212529"/>
          <w:sz w:val="26"/>
          <w:szCs w:val="26"/>
        </w:rPr>
        <w:t>9</w:t>
      </w:r>
    </w:p>
    <w:p w14:paraId="6B013A17" w14:textId="7C4A1D64" w:rsidR="00E37282" w:rsidRPr="00497D8B" w:rsidRDefault="00E37282" w:rsidP="00E37282">
      <w:pPr>
        <w:pStyle w:val="NormalWeb"/>
        <w:shd w:val="clear" w:color="auto" w:fill="FFFFFF"/>
        <w:ind w:left="-851" w:right="-483" w:firstLine="567"/>
        <w:jc w:val="both"/>
        <w:rPr>
          <w:color w:val="212529"/>
          <w:sz w:val="26"/>
          <w:szCs w:val="26"/>
        </w:rPr>
      </w:pPr>
      <w:r w:rsidRPr="00497D8B">
        <w:rPr>
          <w:noProof/>
          <w:color w:val="212529"/>
          <w:sz w:val="26"/>
          <w:szCs w:val="26"/>
        </w:rPr>
        <w:drawing>
          <wp:inline distT="0" distB="0" distL="0" distR="0" wp14:anchorId="50C85819" wp14:editId="30E8A9F3">
            <wp:extent cx="258445" cy="258445"/>
            <wp:effectExtent l="0" t="0" r="8255" b="8255"/>
            <wp:docPr id="13" name="Graphic 13" descr="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rplan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rot="16200000">
                      <a:off x="0" y="0"/>
                      <a:ext cx="271759" cy="271759"/>
                    </a:xfrm>
                    <a:prstGeom prst="rect">
                      <a:avLst/>
                    </a:prstGeom>
                  </pic:spPr>
                </pic:pic>
              </a:graphicData>
            </a:graphic>
          </wp:inline>
        </w:drawing>
      </w:r>
      <w:r w:rsidRPr="00497D8B">
        <w:rPr>
          <w:color w:val="212529"/>
          <w:sz w:val="26"/>
          <w:szCs w:val="26"/>
        </w:rPr>
        <w:t xml:space="preserve"> </w:t>
      </w:r>
      <w:r w:rsidR="007C6CB2">
        <w:rPr>
          <w:color w:val="212529"/>
          <w:sz w:val="26"/>
          <w:szCs w:val="26"/>
        </w:rPr>
        <w:t xml:space="preserve"> </w:t>
      </w:r>
      <w:r w:rsidRPr="00497D8B">
        <w:rPr>
          <w:color w:val="212529"/>
          <w:sz w:val="26"/>
          <w:szCs w:val="26"/>
        </w:rPr>
        <w:t xml:space="preserve">par avio pakalpojumiem – </w:t>
      </w:r>
      <w:r w:rsidR="00ED3C5F">
        <w:rPr>
          <w:color w:val="212529"/>
          <w:sz w:val="26"/>
          <w:szCs w:val="26"/>
        </w:rPr>
        <w:t>5</w:t>
      </w:r>
    </w:p>
    <w:p w14:paraId="291E8250" w14:textId="6F9BE02B" w:rsidR="00E37282" w:rsidRDefault="007C6CB2" w:rsidP="00E37282">
      <w:pPr>
        <w:pStyle w:val="NormalWeb"/>
        <w:shd w:val="clear" w:color="auto" w:fill="FFFFFF"/>
        <w:ind w:left="-851" w:right="-483" w:firstLine="567"/>
        <w:jc w:val="both"/>
        <w:rPr>
          <w:color w:val="212529"/>
          <w:sz w:val="26"/>
          <w:szCs w:val="26"/>
        </w:rPr>
      </w:pPr>
      <w:r w:rsidRPr="00497D8B">
        <w:rPr>
          <w:noProof/>
          <w:color w:val="212529"/>
          <w:sz w:val="26"/>
          <w:szCs w:val="26"/>
        </w:rPr>
        <w:drawing>
          <wp:inline distT="0" distB="0" distL="0" distR="0" wp14:anchorId="0AB0A2C2" wp14:editId="35609FE1">
            <wp:extent cx="292100" cy="292100"/>
            <wp:effectExtent l="0" t="0" r="0" b="0"/>
            <wp:docPr id="14" name="Graphic 14"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92100" cy="292100"/>
                    </a:xfrm>
                    <a:prstGeom prst="rect">
                      <a:avLst/>
                    </a:prstGeom>
                  </pic:spPr>
                </pic:pic>
              </a:graphicData>
            </a:graphic>
          </wp:inline>
        </w:drawing>
      </w:r>
      <w:r>
        <w:rPr>
          <w:color w:val="212529"/>
          <w:sz w:val="26"/>
          <w:szCs w:val="26"/>
        </w:rPr>
        <w:t xml:space="preserve"> </w:t>
      </w:r>
      <w:r w:rsidR="007A017E">
        <w:rPr>
          <w:color w:val="212529"/>
          <w:sz w:val="26"/>
          <w:szCs w:val="26"/>
        </w:rPr>
        <w:t xml:space="preserve">par </w:t>
      </w:r>
      <w:r>
        <w:rPr>
          <w:color w:val="212529"/>
          <w:sz w:val="26"/>
          <w:szCs w:val="26"/>
        </w:rPr>
        <w:t>c</w:t>
      </w:r>
      <w:r w:rsidR="00E37282" w:rsidRPr="00497D8B">
        <w:rPr>
          <w:color w:val="212529"/>
          <w:sz w:val="26"/>
          <w:szCs w:val="26"/>
        </w:rPr>
        <w:t>it</w:t>
      </w:r>
      <w:r w:rsidR="007A017E">
        <w:rPr>
          <w:color w:val="212529"/>
          <w:sz w:val="26"/>
          <w:szCs w:val="26"/>
        </w:rPr>
        <w:t>ām</w:t>
      </w:r>
      <w:r w:rsidR="00E37282" w:rsidRPr="00497D8B">
        <w:rPr>
          <w:color w:val="212529"/>
          <w:sz w:val="26"/>
          <w:szCs w:val="26"/>
        </w:rPr>
        <w:t xml:space="preserve"> pretenzij</w:t>
      </w:r>
      <w:r w:rsidR="007A017E">
        <w:rPr>
          <w:color w:val="212529"/>
          <w:sz w:val="26"/>
          <w:szCs w:val="26"/>
        </w:rPr>
        <w:t>ām</w:t>
      </w:r>
      <w:r w:rsidR="00E37282" w:rsidRPr="00497D8B">
        <w:rPr>
          <w:color w:val="212529"/>
          <w:sz w:val="26"/>
          <w:szCs w:val="26"/>
        </w:rPr>
        <w:t xml:space="preserve"> </w:t>
      </w:r>
      <w:r w:rsidR="00ED3C5F">
        <w:rPr>
          <w:color w:val="212529"/>
          <w:sz w:val="26"/>
          <w:szCs w:val="26"/>
        </w:rPr>
        <w:t>–</w:t>
      </w:r>
      <w:r w:rsidR="00E37282" w:rsidRPr="00497D8B">
        <w:rPr>
          <w:color w:val="212529"/>
          <w:sz w:val="26"/>
          <w:szCs w:val="26"/>
        </w:rPr>
        <w:t xml:space="preserve"> </w:t>
      </w:r>
      <w:r w:rsidR="00ED3C5F">
        <w:rPr>
          <w:color w:val="212529"/>
          <w:sz w:val="26"/>
          <w:szCs w:val="26"/>
        </w:rPr>
        <w:t>3</w:t>
      </w:r>
    </w:p>
    <w:p w14:paraId="681D43C5" w14:textId="462F2C80" w:rsidR="00ED3C5F" w:rsidRPr="00497D8B" w:rsidRDefault="00ED3C5F" w:rsidP="00E37282">
      <w:pPr>
        <w:pStyle w:val="NormalWeb"/>
        <w:shd w:val="clear" w:color="auto" w:fill="FFFFFF"/>
        <w:ind w:left="-851" w:right="-483" w:firstLine="567"/>
        <w:jc w:val="both"/>
        <w:rPr>
          <w:color w:val="212529"/>
          <w:sz w:val="26"/>
          <w:szCs w:val="26"/>
        </w:rPr>
      </w:pPr>
      <w:r>
        <w:rPr>
          <w:noProof/>
          <w:color w:val="212529"/>
          <w:sz w:val="26"/>
          <w:szCs w:val="26"/>
        </w:rPr>
        <w:drawing>
          <wp:inline distT="0" distB="0" distL="0" distR="0" wp14:anchorId="55F85BA7" wp14:editId="1B52B9C5">
            <wp:extent cx="336550" cy="336550"/>
            <wp:effectExtent l="0" t="0" r="6350" b="6350"/>
            <wp:docPr id="6" name="Graphic 6" descr="Wall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Wallet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36550" cy="336550"/>
                    </a:xfrm>
                    <a:prstGeom prst="rect">
                      <a:avLst/>
                    </a:prstGeom>
                  </pic:spPr>
                </pic:pic>
              </a:graphicData>
            </a:graphic>
          </wp:inline>
        </w:drawing>
      </w:r>
      <w:r>
        <w:rPr>
          <w:color w:val="212529"/>
          <w:sz w:val="26"/>
          <w:szCs w:val="26"/>
        </w:rPr>
        <w:t>par rēķini</w:t>
      </w:r>
      <w:r w:rsidR="00C416F7">
        <w:rPr>
          <w:color w:val="212529"/>
          <w:sz w:val="26"/>
          <w:szCs w:val="26"/>
        </w:rPr>
        <w:t>em</w:t>
      </w:r>
      <w:r>
        <w:rPr>
          <w:color w:val="212529"/>
          <w:sz w:val="26"/>
          <w:szCs w:val="26"/>
        </w:rPr>
        <w:t xml:space="preserve"> - 2</w:t>
      </w:r>
    </w:p>
    <w:p w14:paraId="01D9CB9C" w14:textId="0EC40F1F" w:rsidR="00BC665A" w:rsidRDefault="00BC665A" w:rsidP="00E37282">
      <w:pPr>
        <w:pStyle w:val="NormalWeb"/>
        <w:shd w:val="clear" w:color="auto" w:fill="FFFFFF"/>
        <w:spacing w:before="0" w:beforeAutospacing="0" w:after="0" w:afterAutospacing="0"/>
        <w:ind w:left="-851" w:right="-482" w:firstLine="567"/>
        <w:jc w:val="both"/>
        <w:rPr>
          <w:color w:val="212529"/>
          <w:sz w:val="26"/>
          <w:szCs w:val="26"/>
        </w:rPr>
      </w:pPr>
      <w:r>
        <w:rPr>
          <w:color w:val="212529"/>
          <w:sz w:val="26"/>
          <w:szCs w:val="26"/>
        </w:rPr>
        <w:t>202</w:t>
      </w:r>
      <w:r w:rsidR="00ED3C5F">
        <w:rPr>
          <w:color w:val="212529"/>
          <w:sz w:val="26"/>
          <w:szCs w:val="26"/>
        </w:rPr>
        <w:t>3</w:t>
      </w:r>
      <w:r>
        <w:rPr>
          <w:color w:val="212529"/>
          <w:sz w:val="26"/>
          <w:szCs w:val="26"/>
        </w:rPr>
        <w:t>.gadā</w:t>
      </w:r>
      <w:r w:rsidR="00B507E7">
        <w:rPr>
          <w:color w:val="212529"/>
          <w:sz w:val="26"/>
          <w:szCs w:val="26"/>
        </w:rPr>
        <w:t>, salīdzinot ar 2022.gadu</w:t>
      </w:r>
      <w:r w:rsidR="007A017E">
        <w:rPr>
          <w:color w:val="212529"/>
          <w:sz w:val="26"/>
          <w:szCs w:val="26"/>
        </w:rPr>
        <w:t>,</w:t>
      </w:r>
      <w:r w:rsidR="00B507E7">
        <w:rPr>
          <w:color w:val="212529"/>
          <w:sz w:val="26"/>
          <w:szCs w:val="26"/>
        </w:rPr>
        <w:t xml:space="preserve"> </w:t>
      </w:r>
      <w:r w:rsidR="00ED3C5F">
        <w:rPr>
          <w:color w:val="212529"/>
          <w:sz w:val="26"/>
          <w:szCs w:val="26"/>
        </w:rPr>
        <w:t xml:space="preserve">būtiski samazinājās </w:t>
      </w:r>
      <w:r w:rsidR="00497E8B">
        <w:rPr>
          <w:color w:val="212529"/>
          <w:sz w:val="26"/>
          <w:szCs w:val="26"/>
        </w:rPr>
        <w:t>strīdi</w:t>
      </w:r>
      <w:r w:rsidR="00ED3C5F">
        <w:rPr>
          <w:color w:val="212529"/>
          <w:sz w:val="26"/>
          <w:szCs w:val="26"/>
        </w:rPr>
        <w:t xml:space="preserve"> par preču </w:t>
      </w:r>
      <w:proofErr w:type="spellStart"/>
      <w:r w:rsidR="00ED3C5F">
        <w:rPr>
          <w:color w:val="212529"/>
          <w:sz w:val="26"/>
          <w:szCs w:val="26"/>
        </w:rPr>
        <w:t>nepiegādi</w:t>
      </w:r>
      <w:proofErr w:type="spellEnd"/>
      <w:r w:rsidR="00ED3C5F">
        <w:rPr>
          <w:color w:val="212529"/>
          <w:sz w:val="26"/>
          <w:szCs w:val="26"/>
        </w:rPr>
        <w:t xml:space="preserve"> vai pakalpojum</w:t>
      </w:r>
      <w:r w:rsidR="00497E8B">
        <w:rPr>
          <w:color w:val="212529"/>
          <w:sz w:val="26"/>
          <w:szCs w:val="26"/>
        </w:rPr>
        <w:t>u</w:t>
      </w:r>
      <w:r w:rsidR="00ED3C5F">
        <w:rPr>
          <w:color w:val="212529"/>
          <w:sz w:val="26"/>
          <w:szCs w:val="26"/>
        </w:rPr>
        <w:t xml:space="preserve"> nesniegšanu termiņā</w:t>
      </w:r>
      <w:r w:rsidR="00B507E7">
        <w:rPr>
          <w:color w:val="212529"/>
          <w:sz w:val="26"/>
          <w:szCs w:val="26"/>
        </w:rPr>
        <w:t xml:space="preserve"> (2022.gadā bija 91 sūdzība, salīdzinot ar 2023.gada 57 sūdzībām)</w:t>
      </w:r>
      <w:r w:rsidR="00ED3C5F">
        <w:rPr>
          <w:color w:val="212529"/>
          <w:sz w:val="26"/>
          <w:szCs w:val="26"/>
        </w:rPr>
        <w:t>, ka</w:t>
      </w:r>
      <w:r w:rsidR="009D551D">
        <w:rPr>
          <w:color w:val="212529"/>
          <w:sz w:val="26"/>
          <w:szCs w:val="26"/>
        </w:rPr>
        <w:t xml:space="preserve">s saistīts ar to, ka </w:t>
      </w:r>
      <w:r w:rsidR="0010758C">
        <w:rPr>
          <w:color w:val="212529"/>
          <w:sz w:val="26"/>
          <w:szCs w:val="26"/>
        </w:rPr>
        <w:t>tika saņemts salīdzinoši mazāk sūdzību par</w:t>
      </w:r>
      <w:r w:rsidR="009D551D">
        <w:rPr>
          <w:color w:val="212529"/>
          <w:sz w:val="26"/>
          <w:szCs w:val="26"/>
        </w:rPr>
        <w:t xml:space="preserve"> </w:t>
      </w:r>
      <w:r w:rsidR="0010758C">
        <w:rPr>
          <w:color w:val="212529"/>
          <w:sz w:val="26"/>
          <w:szCs w:val="26"/>
        </w:rPr>
        <w:t xml:space="preserve">krāpnieciskajiem </w:t>
      </w:r>
      <w:r w:rsidR="009D551D">
        <w:rPr>
          <w:color w:val="212529"/>
          <w:sz w:val="26"/>
          <w:szCs w:val="26"/>
        </w:rPr>
        <w:t xml:space="preserve">interneta </w:t>
      </w:r>
      <w:r w:rsidR="0010758C">
        <w:rPr>
          <w:color w:val="212529"/>
          <w:sz w:val="26"/>
          <w:szCs w:val="26"/>
        </w:rPr>
        <w:t xml:space="preserve">veikaliem </w:t>
      </w:r>
      <w:r w:rsidR="00497E8B">
        <w:rPr>
          <w:color w:val="212529"/>
          <w:sz w:val="26"/>
          <w:szCs w:val="26"/>
        </w:rPr>
        <w:t>un pakalpojuma sniedzēj</w:t>
      </w:r>
      <w:r w:rsidR="0010758C">
        <w:rPr>
          <w:color w:val="212529"/>
          <w:sz w:val="26"/>
          <w:szCs w:val="26"/>
        </w:rPr>
        <w:t xml:space="preserve">iem, tāpat </w:t>
      </w:r>
      <w:r w:rsidR="00B507E7">
        <w:rPr>
          <w:color w:val="212529"/>
          <w:sz w:val="26"/>
          <w:szCs w:val="26"/>
        </w:rPr>
        <w:t>beidzoties Covi</w:t>
      </w:r>
      <w:r w:rsidR="007A017E">
        <w:rPr>
          <w:color w:val="212529"/>
          <w:sz w:val="26"/>
          <w:szCs w:val="26"/>
        </w:rPr>
        <w:t>d</w:t>
      </w:r>
      <w:r w:rsidR="00B507E7">
        <w:rPr>
          <w:color w:val="212529"/>
          <w:sz w:val="26"/>
          <w:szCs w:val="26"/>
        </w:rPr>
        <w:t>-19 ierobežojumiem, daļa patērētāju ir atgriezušies pie preču iegādes klātienes veikalos</w:t>
      </w:r>
      <w:r w:rsidR="009D551D">
        <w:rPr>
          <w:color w:val="212529"/>
          <w:sz w:val="26"/>
          <w:szCs w:val="26"/>
        </w:rPr>
        <w:t xml:space="preserve">, tomēr joprojām, iesniegumi par apmaksātām, bet nepiegādātām precēm veido lielu daļu no </w:t>
      </w:r>
      <w:r w:rsidR="0010758C">
        <w:rPr>
          <w:color w:val="212529"/>
          <w:sz w:val="26"/>
          <w:szCs w:val="26"/>
        </w:rPr>
        <w:t xml:space="preserve">Komisijā </w:t>
      </w:r>
      <w:r w:rsidR="009D551D">
        <w:rPr>
          <w:color w:val="212529"/>
          <w:sz w:val="26"/>
          <w:szCs w:val="26"/>
        </w:rPr>
        <w:t xml:space="preserve">saņemto </w:t>
      </w:r>
      <w:r w:rsidR="00C416F7">
        <w:rPr>
          <w:color w:val="212529"/>
          <w:sz w:val="26"/>
          <w:szCs w:val="26"/>
        </w:rPr>
        <w:t>iesniegumu</w:t>
      </w:r>
      <w:r w:rsidR="009D551D">
        <w:rPr>
          <w:color w:val="212529"/>
          <w:sz w:val="26"/>
          <w:szCs w:val="26"/>
        </w:rPr>
        <w:t xml:space="preserve"> skaitu.</w:t>
      </w:r>
      <w:r w:rsidR="00C416F7">
        <w:rPr>
          <w:color w:val="212529"/>
          <w:sz w:val="26"/>
          <w:szCs w:val="26"/>
        </w:rPr>
        <w:t xml:space="preserve"> Tāpat būtiski krities </w:t>
      </w:r>
      <w:r w:rsidR="00497E8B">
        <w:rPr>
          <w:color w:val="212529"/>
          <w:sz w:val="26"/>
          <w:szCs w:val="26"/>
        </w:rPr>
        <w:t xml:space="preserve">strīdu </w:t>
      </w:r>
      <w:r w:rsidR="00C416F7">
        <w:rPr>
          <w:color w:val="212529"/>
          <w:sz w:val="26"/>
          <w:szCs w:val="26"/>
        </w:rPr>
        <w:t xml:space="preserve">skaits </w:t>
      </w:r>
      <w:r w:rsidR="006F319C">
        <w:rPr>
          <w:color w:val="212529"/>
          <w:sz w:val="26"/>
          <w:szCs w:val="26"/>
        </w:rPr>
        <w:t>par tūrisma pakalpojumiem</w:t>
      </w:r>
      <w:r w:rsidR="00B507E7">
        <w:rPr>
          <w:color w:val="212529"/>
          <w:sz w:val="26"/>
          <w:szCs w:val="26"/>
        </w:rPr>
        <w:t xml:space="preserve"> (2022.gadā bija 21 sūdzība, salīdzinot ar 2023.gada 11 sūdzībām)</w:t>
      </w:r>
      <w:r w:rsidR="006F319C">
        <w:rPr>
          <w:color w:val="212529"/>
          <w:sz w:val="26"/>
          <w:szCs w:val="26"/>
        </w:rPr>
        <w:t>, kas saistīts ar to, ka ir beigušies Covid – 19 pandēmijas noteikt</w:t>
      </w:r>
      <w:r w:rsidR="00497E8B">
        <w:rPr>
          <w:color w:val="212529"/>
          <w:sz w:val="26"/>
          <w:szCs w:val="26"/>
        </w:rPr>
        <w:t>ie</w:t>
      </w:r>
      <w:r w:rsidR="006F319C">
        <w:rPr>
          <w:color w:val="212529"/>
          <w:sz w:val="26"/>
          <w:szCs w:val="26"/>
        </w:rPr>
        <w:t xml:space="preserve"> ierobežojumi, kuru dēļ tika atcelti/pārcelti ceļojumi. 2023.gadā </w:t>
      </w:r>
      <w:r w:rsidR="00497E8B">
        <w:rPr>
          <w:color w:val="212529"/>
          <w:sz w:val="26"/>
          <w:szCs w:val="26"/>
        </w:rPr>
        <w:t xml:space="preserve">strīdi </w:t>
      </w:r>
      <w:r w:rsidR="006F319C">
        <w:rPr>
          <w:color w:val="212529"/>
          <w:sz w:val="26"/>
          <w:szCs w:val="26"/>
        </w:rPr>
        <w:t xml:space="preserve">par tūrisma pakalpojumiem bija saistīti ar sniegto tūrisma pakalpojumu kvalitāti, piemēram, neatbilstošas viesnīcas, nenodrošināti </w:t>
      </w:r>
      <w:proofErr w:type="spellStart"/>
      <w:r w:rsidR="006F319C">
        <w:rPr>
          <w:color w:val="212529"/>
          <w:sz w:val="26"/>
          <w:szCs w:val="26"/>
        </w:rPr>
        <w:t>transfēra</w:t>
      </w:r>
      <w:proofErr w:type="spellEnd"/>
      <w:r w:rsidR="006F319C">
        <w:rPr>
          <w:color w:val="212529"/>
          <w:sz w:val="26"/>
          <w:szCs w:val="26"/>
        </w:rPr>
        <w:t xml:space="preserve"> pakalpojumi, un tamlīdzīgi.</w:t>
      </w:r>
      <w:r w:rsidR="00C416F7">
        <w:rPr>
          <w:color w:val="212529"/>
          <w:sz w:val="26"/>
          <w:szCs w:val="26"/>
        </w:rPr>
        <w:t xml:space="preserve"> Savukārt </w:t>
      </w:r>
      <w:r w:rsidR="00497E8B">
        <w:rPr>
          <w:color w:val="212529"/>
          <w:sz w:val="26"/>
          <w:szCs w:val="26"/>
        </w:rPr>
        <w:t xml:space="preserve">strīdu </w:t>
      </w:r>
      <w:r w:rsidR="00C416F7">
        <w:rPr>
          <w:color w:val="212529"/>
          <w:sz w:val="26"/>
          <w:szCs w:val="26"/>
        </w:rPr>
        <w:t>skaits par preču atbilstību līguma noteikumiem kopš 2022.gada ir būtiski pieaudzis</w:t>
      </w:r>
      <w:r w:rsidR="00B507E7">
        <w:rPr>
          <w:color w:val="212529"/>
          <w:sz w:val="26"/>
          <w:szCs w:val="26"/>
        </w:rPr>
        <w:t>, tas ir, no 83 sūdzībām 2022.gadā uz 110 sūdzībām 2023.gadā)</w:t>
      </w:r>
      <w:r w:rsidR="00C416F7">
        <w:rPr>
          <w:color w:val="212529"/>
          <w:sz w:val="26"/>
          <w:szCs w:val="26"/>
        </w:rPr>
        <w:t xml:space="preserve">. </w:t>
      </w:r>
    </w:p>
    <w:p w14:paraId="127A0E82" w14:textId="700E1A94" w:rsidR="00E37282" w:rsidRPr="00497D8B" w:rsidRDefault="00E37282" w:rsidP="00E37282">
      <w:pPr>
        <w:pStyle w:val="NormalWeb"/>
        <w:shd w:val="clear" w:color="auto" w:fill="FFFFFF"/>
        <w:spacing w:before="0" w:beforeAutospacing="0" w:after="0" w:afterAutospacing="0"/>
        <w:ind w:left="-851" w:right="-482" w:firstLine="567"/>
        <w:jc w:val="both"/>
        <w:rPr>
          <w:color w:val="212529"/>
          <w:sz w:val="26"/>
          <w:szCs w:val="26"/>
        </w:rPr>
      </w:pPr>
      <w:r w:rsidRPr="00497D8B">
        <w:rPr>
          <w:color w:val="212529"/>
          <w:sz w:val="26"/>
          <w:szCs w:val="26"/>
        </w:rPr>
        <w:t xml:space="preserve">No Komisijā saņemtajiem </w:t>
      </w:r>
      <w:r>
        <w:rPr>
          <w:color w:val="212529"/>
          <w:sz w:val="26"/>
          <w:szCs w:val="26"/>
        </w:rPr>
        <w:t>2</w:t>
      </w:r>
      <w:r w:rsidR="006F319C">
        <w:rPr>
          <w:color w:val="212529"/>
          <w:sz w:val="26"/>
          <w:szCs w:val="26"/>
        </w:rPr>
        <w:t>23</w:t>
      </w:r>
      <w:r w:rsidRPr="00497D8B">
        <w:rPr>
          <w:color w:val="212529"/>
          <w:sz w:val="26"/>
          <w:szCs w:val="26"/>
        </w:rPr>
        <w:t xml:space="preserve"> iesniegumiem </w:t>
      </w:r>
      <w:r w:rsidR="006F319C">
        <w:rPr>
          <w:color w:val="212529"/>
          <w:sz w:val="26"/>
          <w:szCs w:val="26"/>
        </w:rPr>
        <w:t>30</w:t>
      </w:r>
      <w:r w:rsidRPr="00497D8B">
        <w:rPr>
          <w:color w:val="212529"/>
          <w:sz w:val="26"/>
          <w:szCs w:val="26"/>
        </w:rPr>
        <w:t xml:space="preserve"> gadījumos strīdi tika atrisināti pirms Komisijas sēdes sasaukšanas, proti, komersants izpildīja patērētāja prasību vai piedāvāja alternatīvu risinājumu, kam patērētājs piekrita, </w:t>
      </w:r>
      <w:r w:rsidR="008F5A66">
        <w:rPr>
          <w:color w:val="212529"/>
          <w:sz w:val="26"/>
          <w:szCs w:val="26"/>
        </w:rPr>
        <w:t>4</w:t>
      </w:r>
      <w:r w:rsidRPr="00497D8B">
        <w:rPr>
          <w:color w:val="212529"/>
          <w:sz w:val="26"/>
          <w:szCs w:val="26"/>
        </w:rPr>
        <w:t xml:space="preserve"> gadījum</w:t>
      </w:r>
      <w:r>
        <w:rPr>
          <w:color w:val="212529"/>
          <w:sz w:val="26"/>
          <w:szCs w:val="26"/>
        </w:rPr>
        <w:t>o</w:t>
      </w:r>
      <w:r w:rsidRPr="00497D8B">
        <w:rPr>
          <w:color w:val="212529"/>
          <w:sz w:val="26"/>
          <w:szCs w:val="26"/>
        </w:rPr>
        <w:t>s</w:t>
      </w:r>
      <w:r w:rsidR="00166A8C">
        <w:rPr>
          <w:color w:val="212529"/>
          <w:sz w:val="26"/>
          <w:szCs w:val="26"/>
        </w:rPr>
        <w:t xml:space="preserve"> jeb </w:t>
      </w:r>
      <w:r w:rsidR="008F5A66">
        <w:rPr>
          <w:color w:val="212529"/>
          <w:sz w:val="26"/>
          <w:szCs w:val="26"/>
        </w:rPr>
        <w:t>2</w:t>
      </w:r>
      <w:r w:rsidR="00166A8C">
        <w:rPr>
          <w:color w:val="212529"/>
          <w:sz w:val="26"/>
          <w:szCs w:val="26"/>
        </w:rPr>
        <w:t>% gadījumu</w:t>
      </w:r>
      <w:r w:rsidRPr="00497D8B">
        <w:rPr>
          <w:color w:val="212529"/>
          <w:sz w:val="26"/>
          <w:szCs w:val="26"/>
        </w:rPr>
        <w:t xml:space="preserve"> strīda izskatīšana Komisijā tika atteikta. Gadījumi, kad strīda izskatīšana tika atteikta, bija saistīti ar to, ka komersantam tika konstatēts maksātnespējas proces</w:t>
      </w:r>
      <w:r>
        <w:rPr>
          <w:color w:val="212529"/>
          <w:sz w:val="26"/>
          <w:szCs w:val="26"/>
        </w:rPr>
        <w:t>s</w:t>
      </w:r>
      <w:r w:rsidRPr="00497D8B">
        <w:rPr>
          <w:color w:val="212529"/>
          <w:sz w:val="26"/>
          <w:szCs w:val="26"/>
        </w:rPr>
        <w:t xml:space="preserve"> vai likvidācija</w:t>
      </w:r>
      <w:r w:rsidR="00E6744E">
        <w:rPr>
          <w:color w:val="212529"/>
          <w:sz w:val="26"/>
          <w:szCs w:val="26"/>
        </w:rPr>
        <w:t>, ja preces</w:t>
      </w:r>
      <w:r w:rsidR="00A52D38">
        <w:rPr>
          <w:color w:val="212529"/>
          <w:sz w:val="26"/>
          <w:szCs w:val="26"/>
        </w:rPr>
        <w:t>,</w:t>
      </w:r>
      <w:r w:rsidR="00E6744E">
        <w:rPr>
          <w:color w:val="212529"/>
          <w:sz w:val="26"/>
          <w:szCs w:val="26"/>
        </w:rPr>
        <w:t xml:space="preserve"> pakalpojuma summa nesasniedza 20,00 EUR vai pārsniedza 14000,00 EUR</w:t>
      </w:r>
      <w:r w:rsidR="008F5A66">
        <w:rPr>
          <w:color w:val="212529"/>
          <w:sz w:val="26"/>
          <w:szCs w:val="26"/>
        </w:rPr>
        <w:t>, vai iesniedzot iesniegumu, nav ievērots termiņš</w:t>
      </w:r>
      <w:r w:rsidR="00B507E7">
        <w:rPr>
          <w:color w:val="212529"/>
          <w:sz w:val="26"/>
          <w:szCs w:val="26"/>
        </w:rPr>
        <w:t xml:space="preserve">, kādā jāiesniedz iesniegums Komisijā, tas ir, </w:t>
      </w:r>
      <w:r w:rsidR="00570CA0">
        <w:rPr>
          <w:color w:val="212529"/>
          <w:sz w:val="26"/>
          <w:szCs w:val="26"/>
        </w:rPr>
        <w:t xml:space="preserve">ir pagājis </w:t>
      </w:r>
      <w:r w:rsidR="00570CA0" w:rsidRPr="00570CA0">
        <w:rPr>
          <w:color w:val="212529"/>
        </w:rPr>
        <w:t xml:space="preserve">vairāk </w:t>
      </w:r>
      <w:r w:rsidR="00570CA0" w:rsidRPr="0010758C">
        <w:rPr>
          <w:color w:val="212529"/>
          <w:sz w:val="26"/>
          <w:szCs w:val="26"/>
        </w:rPr>
        <w:t xml:space="preserve">kā gads </w:t>
      </w:r>
      <w:r w:rsidR="00570CA0" w:rsidRPr="0010758C">
        <w:rPr>
          <w:color w:val="414142"/>
          <w:sz w:val="26"/>
          <w:szCs w:val="26"/>
          <w:shd w:val="clear" w:color="auto" w:fill="FFFFFF"/>
        </w:rPr>
        <w:t>kopš dienas, kad sūdzība vai iesniegums iesniegts pārdevējam vai pakalpojuma sniedzējam.</w:t>
      </w:r>
    </w:p>
    <w:p w14:paraId="6F8B43BA" w14:textId="358639B2" w:rsidR="00E37282" w:rsidRPr="00497D8B" w:rsidRDefault="00E37282" w:rsidP="00E37282">
      <w:pPr>
        <w:pStyle w:val="NormalWeb"/>
        <w:shd w:val="clear" w:color="auto" w:fill="FFFFFF"/>
        <w:spacing w:before="0" w:beforeAutospacing="0" w:after="0" w:afterAutospacing="0"/>
        <w:ind w:left="-851" w:right="-482" w:firstLine="567"/>
        <w:jc w:val="both"/>
        <w:rPr>
          <w:color w:val="212529"/>
          <w:sz w:val="26"/>
          <w:szCs w:val="26"/>
        </w:rPr>
      </w:pPr>
      <w:r>
        <w:rPr>
          <w:color w:val="212529"/>
          <w:sz w:val="26"/>
          <w:szCs w:val="26"/>
        </w:rPr>
        <w:t>202</w:t>
      </w:r>
      <w:r w:rsidR="008F5A66">
        <w:rPr>
          <w:color w:val="212529"/>
          <w:sz w:val="26"/>
          <w:szCs w:val="26"/>
        </w:rPr>
        <w:t>3</w:t>
      </w:r>
      <w:r>
        <w:rPr>
          <w:color w:val="212529"/>
          <w:sz w:val="26"/>
          <w:szCs w:val="26"/>
        </w:rPr>
        <w:t xml:space="preserve">.gadā Komisijā tika pieņemti </w:t>
      </w:r>
      <w:r w:rsidR="008F5A66">
        <w:rPr>
          <w:color w:val="212529"/>
          <w:sz w:val="26"/>
          <w:szCs w:val="26"/>
        </w:rPr>
        <w:t>154</w:t>
      </w:r>
      <w:r>
        <w:rPr>
          <w:color w:val="212529"/>
          <w:sz w:val="26"/>
          <w:szCs w:val="26"/>
        </w:rPr>
        <w:t xml:space="preserve"> lēmumi</w:t>
      </w:r>
      <w:r w:rsidR="00570CA0">
        <w:rPr>
          <w:color w:val="212529"/>
          <w:sz w:val="26"/>
          <w:szCs w:val="26"/>
        </w:rPr>
        <w:t>, 35 lēmumi tika pieņemti par 2022.gadā saņemtajiem iesniegumiem, savukārt 119 lēmumi par 2023.gadā saņemtajiem iesniegumiem.</w:t>
      </w:r>
    </w:p>
    <w:p w14:paraId="4CB220BE" w14:textId="6D890640" w:rsidR="00E37282" w:rsidRDefault="00E37282" w:rsidP="00E37282">
      <w:pPr>
        <w:pStyle w:val="NormalWeb"/>
        <w:shd w:val="clear" w:color="auto" w:fill="FFFFFF"/>
        <w:ind w:left="-851" w:right="-483" w:firstLine="567"/>
        <w:jc w:val="center"/>
        <w:rPr>
          <w:color w:val="212529"/>
          <w:sz w:val="26"/>
          <w:szCs w:val="26"/>
        </w:rPr>
      </w:pPr>
      <w:r w:rsidRPr="00D85D80">
        <w:rPr>
          <w:noProof/>
        </w:rPr>
        <w:lastRenderedPageBreak/>
        <w:t xml:space="preserve"> </w:t>
      </w:r>
      <w:r w:rsidR="00875AB9">
        <w:rPr>
          <w:noProof/>
        </w:rPr>
        <w:drawing>
          <wp:inline distT="0" distB="0" distL="0" distR="0" wp14:anchorId="3CC1B318" wp14:editId="37C65F74">
            <wp:extent cx="4489450" cy="2339975"/>
            <wp:effectExtent l="0" t="0" r="6350" b="3175"/>
            <wp:docPr id="7" name="Chart 7">
              <a:extLst xmlns:a="http://schemas.openxmlformats.org/drawingml/2006/main">
                <a:ext uri="{FF2B5EF4-FFF2-40B4-BE49-F238E27FC236}">
                  <a16:creationId xmlns:a16="http://schemas.microsoft.com/office/drawing/2014/main" id="{91A810E6-FC38-0400-9C74-2067DC8E39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89F01B2" w14:textId="25B33F23" w:rsidR="00E37282" w:rsidRPr="00497D8B" w:rsidRDefault="00E37282" w:rsidP="00E37282">
      <w:pPr>
        <w:pStyle w:val="NormalWeb"/>
        <w:shd w:val="clear" w:color="auto" w:fill="FFFFFF"/>
        <w:ind w:left="-851" w:right="-483" w:firstLine="567"/>
        <w:jc w:val="both"/>
        <w:rPr>
          <w:color w:val="212529"/>
          <w:sz w:val="26"/>
          <w:szCs w:val="26"/>
        </w:rPr>
      </w:pPr>
      <w:r w:rsidRPr="00497D8B">
        <w:rPr>
          <w:sz w:val="26"/>
          <w:szCs w:val="26"/>
        </w:rPr>
        <w:t>Vidējais strīdu izskatīšanas ilgums 202</w:t>
      </w:r>
      <w:r w:rsidR="00066CE5">
        <w:rPr>
          <w:sz w:val="26"/>
          <w:szCs w:val="26"/>
        </w:rPr>
        <w:t>3</w:t>
      </w:r>
      <w:r w:rsidRPr="00497D8B">
        <w:rPr>
          <w:sz w:val="26"/>
          <w:szCs w:val="26"/>
        </w:rPr>
        <w:t xml:space="preserve">.gadā Komisijā bija </w:t>
      </w:r>
      <w:r>
        <w:rPr>
          <w:sz w:val="26"/>
          <w:szCs w:val="26"/>
        </w:rPr>
        <w:t>2</w:t>
      </w:r>
      <w:r w:rsidRPr="00497D8B">
        <w:rPr>
          <w:sz w:val="26"/>
          <w:szCs w:val="26"/>
        </w:rPr>
        <w:t xml:space="preserve"> mēne</w:t>
      </w:r>
      <w:r>
        <w:rPr>
          <w:sz w:val="26"/>
          <w:szCs w:val="26"/>
        </w:rPr>
        <w:t>ši</w:t>
      </w:r>
      <w:r w:rsidRPr="00497D8B">
        <w:rPr>
          <w:sz w:val="26"/>
          <w:szCs w:val="26"/>
        </w:rPr>
        <w:t>. Visas Komisijas sēdes ir notikušas rakstveida procesā.</w:t>
      </w:r>
    </w:p>
    <w:p w14:paraId="469406DC" w14:textId="2E5B0CC2" w:rsidR="00CC732A" w:rsidRDefault="00E37282" w:rsidP="00555BC0">
      <w:pPr>
        <w:pStyle w:val="NormalWeb"/>
        <w:shd w:val="clear" w:color="auto" w:fill="FFFFFF"/>
        <w:ind w:left="-851" w:right="-483" w:firstLine="567"/>
        <w:jc w:val="both"/>
        <w:rPr>
          <w:color w:val="212529"/>
          <w:sz w:val="26"/>
          <w:szCs w:val="26"/>
        </w:rPr>
      </w:pPr>
      <w:r w:rsidRPr="00497D8B">
        <w:rPr>
          <w:color w:val="212529"/>
          <w:sz w:val="26"/>
          <w:szCs w:val="26"/>
        </w:rPr>
        <w:t>Ņemot vērā, ka, risinot strīdus Komisijā, strīda izskatīšana notiek balstoties uz pušu iesniegtajiem pierādījumiem, patērētāji un komersanti aktīvi izmantoja iespēju iesniegt pierādījumus sava viedokļa pamatošanai.</w:t>
      </w:r>
      <w:r w:rsidR="00CC732A">
        <w:rPr>
          <w:color w:val="212529"/>
          <w:sz w:val="26"/>
          <w:szCs w:val="26"/>
        </w:rPr>
        <w:t xml:space="preserve"> Tomēr joprojām daudzi patērētāji un komersanti neizprot savas tiesības strīda risināšanas gaitā. Komisija katrā strīdā lūdz komersantu sniegt viedokli par strīdu, kas ietver arī tiesības brīvi iesniegt pierādījumus, kas šo viedokli pamato. Tāpat arī patērētājiem jāpamato savs prasījums</w:t>
      </w:r>
      <w:r w:rsidR="002D295F">
        <w:rPr>
          <w:color w:val="212529"/>
          <w:sz w:val="26"/>
          <w:szCs w:val="26"/>
        </w:rPr>
        <w:t xml:space="preserve"> ar attiecīgiem pierādījumiem. Tā kā strīda risināšana Komisijā ir </w:t>
      </w:r>
      <w:proofErr w:type="spellStart"/>
      <w:r w:rsidR="002D295F">
        <w:rPr>
          <w:color w:val="212529"/>
          <w:sz w:val="26"/>
          <w:szCs w:val="26"/>
        </w:rPr>
        <w:t>ārpustiesas</w:t>
      </w:r>
      <w:proofErr w:type="spellEnd"/>
      <w:r w:rsidR="002D295F">
        <w:rPr>
          <w:color w:val="212529"/>
          <w:sz w:val="26"/>
          <w:szCs w:val="26"/>
        </w:rPr>
        <w:t xml:space="preserve"> strīdu risināšanas mehānisms, normatīvie akti neregulē pierādījumu iegūšanu. Strīda puses var brīvi iegūt šos pierādījumus. Vienīgais nosacījums, ka pierādījumiem jābūt noformētiem </w:t>
      </w:r>
      <w:proofErr w:type="spellStart"/>
      <w:r w:rsidR="002D295F">
        <w:rPr>
          <w:color w:val="212529"/>
          <w:sz w:val="26"/>
          <w:szCs w:val="26"/>
        </w:rPr>
        <w:t>rakstveidā</w:t>
      </w:r>
      <w:proofErr w:type="spellEnd"/>
      <w:r w:rsidR="002D295F">
        <w:rPr>
          <w:color w:val="212529"/>
          <w:sz w:val="26"/>
          <w:szCs w:val="26"/>
        </w:rPr>
        <w:t>, ievērojot vispārējās dokumentu noformēšanas prasības, piemēram, valsts valodā vai ar tulkojumu, parakstītam u.tml.</w:t>
      </w:r>
      <w:r w:rsidRPr="00497D8B">
        <w:rPr>
          <w:color w:val="212529"/>
          <w:sz w:val="26"/>
          <w:szCs w:val="26"/>
        </w:rPr>
        <w:t xml:space="preserve"> </w:t>
      </w:r>
      <w:r w:rsidR="008E5F42">
        <w:rPr>
          <w:color w:val="212529"/>
          <w:sz w:val="26"/>
          <w:szCs w:val="26"/>
        </w:rPr>
        <w:t>202</w:t>
      </w:r>
      <w:r w:rsidR="00875AB9">
        <w:rPr>
          <w:color w:val="212529"/>
          <w:sz w:val="26"/>
          <w:szCs w:val="26"/>
        </w:rPr>
        <w:t>3</w:t>
      </w:r>
      <w:r w:rsidRPr="00497D8B">
        <w:rPr>
          <w:color w:val="212529"/>
          <w:sz w:val="26"/>
          <w:szCs w:val="26"/>
        </w:rPr>
        <w:t xml:space="preserve">. gadā Komisijā iesniegti videomateriāli, fotogrāfijas, rakstveida speciālistu atzinumi un ekspertīzes slēdzieni. </w:t>
      </w:r>
      <w:r w:rsidR="00166A8C">
        <w:rPr>
          <w:color w:val="212529"/>
          <w:sz w:val="26"/>
          <w:szCs w:val="26"/>
        </w:rPr>
        <w:t>Tomēr jānorāda, ka 1</w:t>
      </w:r>
      <w:r w:rsidR="00875AB9">
        <w:rPr>
          <w:color w:val="212529"/>
          <w:sz w:val="26"/>
          <w:szCs w:val="26"/>
        </w:rPr>
        <w:t>1</w:t>
      </w:r>
      <w:r w:rsidR="00166A8C">
        <w:rPr>
          <w:color w:val="212529"/>
          <w:sz w:val="26"/>
          <w:szCs w:val="26"/>
        </w:rPr>
        <w:t xml:space="preserve"> jeb </w:t>
      </w:r>
      <w:r w:rsidR="00875AB9">
        <w:rPr>
          <w:color w:val="212529"/>
          <w:sz w:val="26"/>
          <w:szCs w:val="26"/>
        </w:rPr>
        <w:t>5</w:t>
      </w:r>
      <w:r w:rsidR="00166A8C">
        <w:rPr>
          <w:color w:val="212529"/>
          <w:sz w:val="26"/>
          <w:szCs w:val="26"/>
        </w:rPr>
        <w:t xml:space="preserve">% </w:t>
      </w:r>
      <w:r w:rsidR="00346E41">
        <w:rPr>
          <w:color w:val="212529"/>
          <w:sz w:val="26"/>
          <w:szCs w:val="26"/>
        </w:rPr>
        <w:t xml:space="preserve">gadījumos </w:t>
      </w:r>
      <w:r w:rsidR="00166A8C">
        <w:rPr>
          <w:color w:val="212529"/>
          <w:sz w:val="26"/>
          <w:szCs w:val="26"/>
        </w:rPr>
        <w:t>Komisija pieņēma lēmumu izbeigt strīda izskatīšanu pierādījumu trūkumu dēļ</w:t>
      </w:r>
      <w:r w:rsidR="00B71DB7">
        <w:rPr>
          <w:color w:val="212529"/>
          <w:sz w:val="26"/>
          <w:szCs w:val="26"/>
        </w:rPr>
        <w:t>, kas saistīts ar to, ka strīda puses nebija iesniegušas pierādījumus, kas ļautu Komisijai pieņemt lēmumu pēc būtības.</w:t>
      </w:r>
    </w:p>
    <w:p w14:paraId="2B90D7EE" w14:textId="1B129B48" w:rsidR="00555BC0" w:rsidRDefault="00B71DB7" w:rsidP="00555BC0">
      <w:pPr>
        <w:pStyle w:val="NormalWeb"/>
        <w:shd w:val="clear" w:color="auto" w:fill="FFFFFF"/>
        <w:ind w:left="-851" w:right="-483" w:firstLine="567"/>
        <w:jc w:val="both"/>
        <w:rPr>
          <w:color w:val="212529"/>
          <w:sz w:val="26"/>
          <w:szCs w:val="26"/>
        </w:rPr>
      </w:pPr>
      <w:r>
        <w:rPr>
          <w:color w:val="212529"/>
          <w:sz w:val="26"/>
          <w:szCs w:val="26"/>
        </w:rPr>
        <w:t xml:space="preserve"> </w:t>
      </w:r>
      <w:r w:rsidR="00E37282" w:rsidRPr="00DE378D">
        <w:rPr>
          <w:sz w:val="26"/>
          <w:szCs w:val="26"/>
        </w:rPr>
        <w:t xml:space="preserve">Kopumā </w:t>
      </w:r>
      <w:r w:rsidR="00E37282">
        <w:rPr>
          <w:sz w:val="26"/>
          <w:szCs w:val="26"/>
        </w:rPr>
        <w:t xml:space="preserve">no </w:t>
      </w:r>
      <w:r w:rsidR="00E37282" w:rsidRPr="00DE378D">
        <w:rPr>
          <w:sz w:val="26"/>
          <w:szCs w:val="26"/>
        </w:rPr>
        <w:t>202</w:t>
      </w:r>
      <w:r w:rsidR="00875AB9">
        <w:rPr>
          <w:sz w:val="26"/>
          <w:szCs w:val="26"/>
        </w:rPr>
        <w:t>3</w:t>
      </w:r>
      <w:r w:rsidR="00E37282" w:rsidRPr="00DE378D">
        <w:rPr>
          <w:sz w:val="26"/>
          <w:szCs w:val="26"/>
        </w:rPr>
        <w:t xml:space="preserve">.gadā Komisijā pieņemtajiem </w:t>
      </w:r>
      <w:r w:rsidR="00E37282">
        <w:rPr>
          <w:sz w:val="26"/>
          <w:szCs w:val="26"/>
        </w:rPr>
        <w:t>1</w:t>
      </w:r>
      <w:r w:rsidR="00875AB9">
        <w:rPr>
          <w:sz w:val="26"/>
          <w:szCs w:val="26"/>
        </w:rPr>
        <w:t>24</w:t>
      </w:r>
      <w:r w:rsidR="00E37282">
        <w:rPr>
          <w:sz w:val="26"/>
          <w:szCs w:val="26"/>
        </w:rPr>
        <w:t xml:space="preserve"> patērētājiem labvēlīgajiem </w:t>
      </w:r>
      <w:r w:rsidR="00E37282" w:rsidRPr="00DE378D">
        <w:rPr>
          <w:sz w:val="26"/>
          <w:szCs w:val="26"/>
        </w:rPr>
        <w:t>lēmumiem</w:t>
      </w:r>
      <w:r w:rsidR="00E37282">
        <w:rPr>
          <w:sz w:val="26"/>
          <w:szCs w:val="26"/>
        </w:rPr>
        <w:t xml:space="preserve">, </w:t>
      </w:r>
      <w:r w:rsidR="00E37282" w:rsidRPr="00DE378D">
        <w:rPr>
          <w:sz w:val="26"/>
          <w:szCs w:val="26"/>
        </w:rPr>
        <w:t xml:space="preserve">komersanti ir izpildījuši </w:t>
      </w:r>
      <w:r w:rsidR="00066CE5">
        <w:rPr>
          <w:sz w:val="26"/>
          <w:szCs w:val="26"/>
        </w:rPr>
        <w:t>57</w:t>
      </w:r>
      <w:r w:rsidR="00E37282" w:rsidRPr="00DE378D">
        <w:rPr>
          <w:sz w:val="26"/>
          <w:szCs w:val="26"/>
        </w:rPr>
        <w:t xml:space="preserve"> lēmumus</w:t>
      </w:r>
      <w:r w:rsidR="00066CE5">
        <w:rPr>
          <w:sz w:val="26"/>
          <w:szCs w:val="26"/>
        </w:rPr>
        <w:t xml:space="preserve">, savukārt 25 gadījumos lēmumu izpilde nav iespējama </w:t>
      </w:r>
      <w:r w:rsidR="00555BC0">
        <w:rPr>
          <w:sz w:val="26"/>
          <w:szCs w:val="26"/>
        </w:rPr>
        <w:t xml:space="preserve">(kas saistīts ar </w:t>
      </w:r>
      <w:r w:rsidR="00066CE5">
        <w:rPr>
          <w:sz w:val="26"/>
          <w:szCs w:val="26"/>
        </w:rPr>
        <w:t xml:space="preserve">komersanta likviditāti, saimnieciskās darbības apturēšanu, </w:t>
      </w:r>
      <w:r w:rsidR="00555BC0">
        <w:rPr>
          <w:sz w:val="26"/>
          <w:szCs w:val="26"/>
        </w:rPr>
        <w:t xml:space="preserve">vai komersants </w:t>
      </w:r>
      <w:r w:rsidR="00555BC0" w:rsidRPr="007A236B">
        <w:rPr>
          <w:color w:val="212529"/>
          <w:sz w:val="26"/>
          <w:szCs w:val="26"/>
        </w:rPr>
        <w:t>ir izbei</w:t>
      </w:r>
      <w:r w:rsidR="00555BC0">
        <w:rPr>
          <w:color w:val="212529"/>
          <w:sz w:val="26"/>
          <w:szCs w:val="26"/>
        </w:rPr>
        <w:t>dzis</w:t>
      </w:r>
      <w:r w:rsidR="00555BC0" w:rsidRPr="007A236B">
        <w:rPr>
          <w:color w:val="212529"/>
          <w:sz w:val="26"/>
          <w:szCs w:val="26"/>
        </w:rPr>
        <w:t xml:space="preserve"> savu darbību</w:t>
      </w:r>
      <w:r w:rsidR="00555BC0">
        <w:rPr>
          <w:color w:val="212529"/>
          <w:sz w:val="26"/>
          <w:szCs w:val="26"/>
        </w:rPr>
        <w:t>)</w:t>
      </w:r>
      <w:r w:rsidR="00555BC0">
        <w:rPr>
          <w:sz w:val="26"/>
          <w:szCs w:val="26"/>
        </w:rPr>
        <w:t>, līdz ar to no reāli izpildāmiem lēmumiem (lēmumi pret komersantam, kuri veic aktīvu saimniecisko darbību)</w:t>
      </w:r>
      <w:r w:rsidR="00E37282" w:rsidRPr="00DE378D">
        <w:rPr>
          <w:sz w:val="26"/>
          <w:szCs w:val="26"/>
        </w:rPr>
        <w:t xml:space="preserve"> </w:t>
      </w:r>
      <w:r w:rsidR="00555BC0" w:rsidRPr="0010758C">
        <w:rPr>
          <w:sz w:val="26"/>
          <w:szCs w:val="26"/>
        </w:rPr>
        <w:t xml:space="preserve">ir izpildīti </w:t>
      </w:r>
      <w:r w:rsidR="0010758C" w:rsidRPr="0010758C">
        <w:rPr>
          <w:sz w:val="26"/>
          <w:szCs w:val="26"/>
        </w:rPr>
        <w:t>61</w:t>
      </w:r>
      <w:r w:rsidR="00555BC0" w:rsidRPr="0010758C">
        <w:rPr>
          <w:sz w:val="26"/>
          <w:szCs w:val="26"/>
        </w:rPr>
        <w:t>%</w:t>
      </w:r>
      <w:r w:rsidR="00E37282" w:rsidRPr="0010758C">
        <w:rPr>
          <w:sz w:val="26"/>
          <w:szCs w:val="26"/>
        </w:rPr>
        <w:t>.</w:t>
      </w:r>
      <w:r w:rsidR="00E37282" w:rsidRPr="00FD65A2">
        <w:t xml:space="preserve"> </w:t>
      </w:r>
    </w:p>
    <w:p w14:paraId="2431AA11" w14:textId="77777777" w:rsidR="00E37282" w:rsidRPr="007A236B" w:rsidRDefault="00E37282" w:rsidP="00E37282">
      <w:pPr>
        <w:pStyle w:val="NormalWeb"/>
        <w:shd w:val="clear" w:color="auto" w:fill="FFFFFF"/>
        <w:ind w:left="-851" w:right="-483" w:firstLine="567"/>
        <w:jc w:val="both"/>
        <w:rPr>
          <w:color w:val="212529"/>
          <w:sz w:val="26"/>
          <w:szCs w:val="26"/>
        </w:rPr>
      </w:pPr>
      <w:r w:rsidRPr="007A236B">
        <w:rPr>
          <w:color w:val="212529"/>
          <w:sz w:val="26"/>
          <w:szCs w:val="26"/>
        </w:rPr>
        <w:t> Daži piemēri no Komisijā izskatītajām lietām</w:t>
      </w:r>
    </w:p>
    <w:p w14:paraId="20561330" w14:textId="7C708FEC" w:rsidR="00E37282" w:rsidRPr="007A236B" w:rsidRDefault="00E37282" w:rsidP="00E37282">
      <w:pPr>
        <w:pStyle w:val="NormalWeb"/>
        <w:shd w:val="clear" w:color="auto" w:fill="FFFFFF"/>
        <w:ind w:left="-851" w:right="-483" w:firstLine="567"/>
        <w:jc w:val="both"/>
        <w:rPr>
          <w:color w:val="212529"/>
          <w:sz w:val="26"/>
          <w:szCs w:val="26"/>
        </w:rPr>
      </w:pPr>
      <w:r>
        <w:rPr>
          <w:color w:val="212529"/>
          <w:sz w:val="26"/>
          <w:szCs w:val="26"/>
        </w:rPr>
        <w:t xml:space="preserve"> </w:t>
      </w:r>
      <w:r w:rsidR="00592B51">
        <w:rPr>
          <w:rFonts w:eastAsia="Verdana"/>
          <w:i/>
          <w:iCs/>
          <w:noProof/>
          <w:kern w:val="24"/>
        </w:rPr>
        <w:drawing>
          <wp:inline distT="0" distB="0" distL="0" distR="0" wp14:anchorId="7D34A28A" wp14:editId="4F296A90">
            <wp:extent cx="361950" cy="361950"/>
            <wp:effectExtent l="0" t="0" r="0" b="0"/>
            <wp:docPr id="10" name="Graphic 10" descr="Cras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rash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61950" cy="361950"/>
                    </a:xfrm>
                    <a:prstGeom prst="rect">
                      <a:avLst/>
                    </a:prstGeom>
                  </pic:spPr>
                </pic:pic>
              </a:graphicData>
            </a:graphic>
          </wp:inline>
        </w:drawing>
      </w:r>
      <w:r>
        <w:rPr>
          <w:color w:val="212529"/>
          <w:sz w:val="26"/>
          <w:szCs w:val="26"/>
        </w:rPr>
        <w:t xml:space="preserve"> par </w:t>
      </w:r>
      <w:r w:rsidR="00BC6145">
        <w:rPr>
          <w:rFonts w:eastAsia="Verdana"/>
          <w:kern w:val="24"/>
        </w:rPr>
        <w:t>transportlīdzekļa nomas laikā transportlīdzeklim radītiem bojājumiem.</w:t>
      </w:r>
    </w:p>
    <w:p w14:paraId="01EBCFF7" w14:textId="33DBE4C3" w:rsidR="00592B51" w:rsidRPr="00592B51" w:rsidRDefault="00B3447F" w:rsidP="00592B51">
      <w:pPr>
        <w:pStyle w:val="ListParagraph"/>
        <w:spacing w:after="0" w:line="240" w:lineRule="auto"/>
        <w:ind w:left="0" w:firstLine="709"/>
        <w:jc w:val="both"/>
        <w:rPr>
          <w:rFonts w:ascii="Times New Roman" w:eastAsia="Verdana" w:hAnsi="Times New Roman" w:cs="Times New Roman"/>
          <w:i/>
          <w:iCs/>
          <w:kern w:val="24"/>
          <w:sz w:val="24"/>
          <w:szCs w:val="24"/>
          <w:lang w:eastAsia="lv-LV"/>
        </w:rPr>
      </w:pPr>
      <w:r w:rsidRPr="00592B51">
        <w:rPr>
          <w:rFonts w:ascii="Times New Roman" w:eastAsia="Times New Roman" w:hAnsi="Times New Roman"/>
          <w:i/>
          <w:iCs/>
          <w:sz w:val="24"/>
          <w:szCs w:val="24"/>
        </w:rPr>
        <w:t>Komisija izskatīja strīdu par</w:t>
      </w:r>
      <w:r w:rsidR="00BC6145" w:rsidRPr="00592B51">
        <w:rPr>
          <w:rFonts w:ascii="Times New Roman" w:eastAsia="Verdana" w:hAnsi="Times New Roman" w:cs="Times New Roman"/>
          <w:i/>
          <w:iCs/>
          <w:kern w:val="24"/>
          <w:sz w:val="24"/>
          <w:szCs w:val="24"/>
          <w:lang w:eastAsia="lv-LV"/>
        </w:rPr>
        <w:t xml:space="preserve"> transportlīdzekļa nomas laikā transportlīdzeklim radītiem bojājumiem un zaudējumiem.  Patērētājs, braucot ar nomātu transportlīdzekli, iebrauca uz ceļa esošā bedrē, kā rezultātā patērētājs guva traum</w:t>
      </w:r>
      <w:r w:rsidR="00592B51" w:rsidRPr="00592B51">
        <w:rPr>
          <w:rFonts w:ascii="Times New Roman" w:eastAsia="Verdana" w:hAnsi="Times New Roman" w:cs="Times New Roman"/>
          <w:i/>
          <w:iCs/>
          <w:kern w:val="24"/>
          <w:sz w:val="24"/>
          <w:szCs w:val="24"/>
          <w:lang w:eastAsia="lv-LV"/>
        </w:rPr>
        <w:t>as un transportlīdzeklim tika nodarīti bojājum</w:t>
      </w:r>
      <w:r w:rsidR="00346E41">
        <w:rPr>
          <w:rFonts w:ascii="Times New Roman" w:eastAsia="Verdana" w:hAnsi="Times New Roman" w:cs="Times New Roman"/>
          <w:i/>
          <w:iCs/>
          <w:kern w:val="24"/>
          <w:sz w:val="24"/>
          <w:szCs w:val="24"/>
          <w:lang w:eastAsia="lv-LV"/>
        </w:rPr>
        <w:t>i</w:t>
      </w:r>
      <w:r w:rsidR="00592B51" w:rsidRPr="00592B51">
        <w:rPr>
          <w:rFonts w:ascii="Times New Roman" w:eastAsia="Verdana" w:hAnsi="Times New Roman" w:cs="Times New Roman"/>
          <w:i/>
          <w:iCs/>
          <w:kern w:val="24"/>
          <w:sz w:val="24"/>
          <w:szCs w:val="24"/>
          <w:lang w:eastAsia="lv-LV"/>
        </w:rPr>
        <w:t xml:space="preserve">. Par transportlīdzeklim radītajiem </w:t>
      </w:r>
      <w:r w:rsidR="00592B51" w:rsidRPr="00592B51">
        <w:rPr>
          <w:rFonts w:ascii="Times New Roman" w:eastAsia="Verdana" w:hAnsi="Times New Roman" w:cs="Times New Roman"/>
          <w:i/>
          <w:iCs/>
          <w:kern w:val="24"/>
          <w:sz w:val="24"/>
          <w:szCs w:val="24"/>
          <w:lang w:eastAsia="lv-LV"/>
        </w:rPr>
        <w:lastRenderedPageBreak/>
        <w:t>bojājumiem pakalpojuma sniedzējs no patērētāja bankas konta noņēma naudas summu radīto zaudējumu atlīdzināšanai, kam patērētājs nepiekrita.</w:t>
      </w:r>
    </w:p>
    <w:p w14:paraId="1AFB6388" w14:textId="77777777" w:rsidR="00592B51" w:rsidRDefault="00592B51" w:rsidP="00592B51">
      <w:pPr>
        <w:pStyle w:val="ListParagraph"/>
        <w:spacing w:after="0" w:line="240" w:lineRule="auto"/>
        <w:ind w:left="0" w:firstLine="709"/>
        <w:jc w:val="both"/>
        <w:rPr>
          <w:rFonts w:ascii="Times New Roman" w:eastAsia="Verdana" w:hAnsi="Times New Roman" w:cs="Times New Roman"/>
          <w:i/>
          <w:iCs/>
          <w:kern w:val="24"/>
          <w:sz w:val="24"/>
          <w:szCs w:val="24"/>
          <w:lang w:eastAsia="lv-LV"/>
        </w:rPr>
      </w:pPr>
    </w:p>
    <w:p w14:paraId="3D9BC900" w14:textId="1191D1E4" w:rsidR="00592B51" w:rsidRPr="00592B51" w:rsidRDefault="00592B51" w:rsidP="00592B51">
      <w:pPr>
        <w:pStyle w:val="ListParagraph"/>
        <w:spacing w:after="0" w:line="240" w:lineRule="auto"/>
        <w:ind w:left="0" w:firstLine="709"/>
        <w:jc w:val="both"/>
        <w:rPr>
          <w:rFonts w:ascii="Times New Roman" w:eastAsia="Verdana" w:hAnsi="Times New Roman" w:cs="Times New Roman"/>
          <w:i/>
          <w:iCs/>
          <w:kern w:val="24"/>
          <w:sz w:val="24"/>
          <w:szCs w:val="24"/>
          <w:lang w:eastAsia="lv-LV"/>
        </w:rPr>
      </w:pPr>
      <w:r w:rsidRPr="00592B51">
        <w:rPr>
          <w:rFonts w:ascii="Times New Roman" w:eastAsia="Verdana" w:hAnsi="Times New Roman" w:cs="Times New Roman"/>
          <w:i/>
          <w:iCs/>
          <w:kern w:val="24"/>
          <w:sz w:val="24"/>
          <w:szCs w:val="24"/>
          <w:lang w:eastAsia="lv-LV"/>
        </w:rPr>
        <w:t>Sabiedrība</w:t>
      </w:r>
      <w:r w:rsidR="00346E41">
        <w:rPr>
          <w:rFonts w:ascii="Times New Roman" w:eastAsia="Verdana" w:hAnsi="Times New Roman" w:cs="Times New Roman"/>
          <w:i/>
          <w:iCs/>
          <w:kern w:val="24"/>
          <w:sz w:val="24"/>
          <w:szCs w:val="24"/>
          <w:lang w:eastAsia="lv-LV"/>
        </w:rPr>
        <w:t>,</w:t>
      </w:r>
      <w:r w:rsidRPr="00592B51">
        <w:rPr>
          <w:rFonts w:ascii="Times New Roman" w:eastAsia="Verdana" w:hAnsi="Times New Roman" w:cs="Times New Roman"/>
          <w:i/>
          <w:iCs/>
          <w:kern w:val="24"/>
          <w:sz w:val="24"/>
          <w:szCs w:val="24"/>
          <w:lang w:eastAsia="lv-LV"/>
        </w:rPr>
        <w:t xml:space="preserve"> sniedzot skaidrojumu</w:t>
      </w:r>
      <w:r w:rsidR="00346E41">
        <w:rPr>
          <w:rFonts w:ascii="Times New Roman" w:eastAsia="Verdana" w:hAnsi="Times New Roman" w:cs="Times New Roman"/>
          <w:i/>
          <w:iCs/>
          <w:kern w:val="24"/>
          <w:sz w:val="24"/>
          <w:szCs w:val="24"/>
          <w:lang w:eastAsia="lv-LV"/>
        </w:rPr>
        <w:t>,</w:t>
      </w:r>
      <w:r w:rsidRPr="00592B51">
        <w:rPr>
          <w:rFonts w:ascii="Times New Roman" w:eastAsia="Verdana" w:hAnsi="Times New Roman" w:cs="Times New Roman"/>
          <w:i/>
          <w:iCs/>
          <w:kern w:val="24"/>
          <w:sz w:val="24"/>
          <w:szCs w:val="24"/>
          <w:lang w:eastAsia="lv-LV"/>
        </w:rPr>
        <w:t xml:space="preserve"> norādīja, ka rīkojusies saskaņā ar pakalpojuma lietošanas noteikumiem un uzskatīja, ka tā kā transportlīdzekļa bojājumi radušies laikā, kad to lietoja patērētājs, patērētājs ir atbildīgs par radītajiem zaudējumiem.</w:t>
      </w:r>
    </w:p>
    <w:p w14:paraId="21EAC94E" w14:textId="3012A35F" w:rsidR="00592B51" w:rsidRPr="00592B51" w:rsidRDefault="00592B51" w:rsidP="00592B51">
      <w:pPr>
        <w:pStyle w:val="ListParagraph"/>
        <w:spacing w:after="0" w:line="240" w:lineRule="auto"/>
        <w:ind w:left="0" w:firstLine="709"/>
        <w:jc w:val="both"/>
        <w:rPr>
          <w:rFonts w:ascii="Times New Roman" w:eastAsia="Verdana" w:hAnsi="Times New Roman" w:cs="Times New Roman"/>
          <w:i/>
          <w:iCs/>
          <w:kern w:val="24"/>
          <w:sz w:val="24"/>
          <w:szCs w:val="24"/>
          <w:lang w:eastAsia="lv-LV"/>
        </w:rPr>
      </w:pPr>
      <w:r w:rsidRPr="00592B51">
        <w:rPr>
          <w:rFonts w:ascii="Times New Roman" w:eastAsia="Verdana" w:hAnsi="Times New Roman" w:cs="Times New Roman"/>
          <w:i/>
          <w:iCs/>
          <w:kern w:val="24"/>
          <w:sz w:val="24"/>
          <w:szCs w:val="24"/>
          <w:lang w:eastAsia="lv-LV"/>
        </w:rPr>
        <w:t xml:space="preserve">Komisija, izvērtējot strīdu, </w:t>
      </w:r>
      <w:r w:rsidR="00BC6145" w:rsidRPr="00592B51">
        <w:rPr>
          <w:rFonts w:ascii="Times New Roman" w:eastAsia="Verdana" w:hAnsi="Times New Roman" w:cs="Times New Roman"/>
          <w:i/>
          <w:iCs/>
          <w:kern w:val="24"/>
          <w:sz w:val="24"/>
          <w:szCs w:val="24"/>
          <w:lang w:eastAsia="lv-LV"/>
        </w:rPr>
        <w:t>secināja, ka komersantam nav tiesību vienpusējā kārtā piedzīt no patērētāja zaudējumus, automātiski noņemot naudu no patērētāja bankas konta. Zaudējumu esamību un to apmērs jāpierāda, ievērojot Civillikumā nostiprinātos principus. Komisija norādīja, ka gadījumā, ja starp patērētāju un komersantu noslēgtajā līgumā būtu iekļauts  noteikums, ka komersants ir tiesīgs automātiski ieturēt zaudējumus, tas būtu netaisnīgs un nebūtu spēkā</w:t>
      </w:r>
      <w:r w:rsidRPr="00592B51">
        <w:rPr>
          <w:rFonts w:ascii="Times New Roman" w:eastAsia="Verdana" w:hAnsi="Times New Roman" w:cs="Times New Roman"/>
          <w:i/>
          <w:iCs/>
          <w:kern w:val="24"/>
          <w:sz w:val="24"/>
          <w:szCs w:val="24"/>
          <w:lang w:eastAsia="lv-LV"/>
        </w:rPr>
        <w:t>.</w:t>
      </w:r>
    </w:p>
    <w:p w14:paraId="0384A210" w14:textId="77777777" w:rsidR="00592B51" w:rsidRPr="00592B51" w:rsidRDefault="00592B51" w:rsidP="00592B51">
      <w:pPr>
        <w:pStyle w:val="ListParagraph"/>
        <w:spacing w:after="0" w:line="240" w:lineRule="auto"/>
        <w:ind w:left="0" w:firstLine="709"/>
        <w:jc w:val="both"/>
        <w:rPr>
          <w:rFonts w:ascii="Times New Roman" w:eastAsia="Verdana" w:hAnsi="Times New Roman" w:cs="Times New Roman"/>
          <w:i/>
          <w:iCs/>
          <w:kern w:val="24"/>
          <w:sz w:val="24"/>
          <w:szCs w:val="24"/>
          <w:lang w:eastAsia="lv-LV"/>
        </w:rPr>
      </w:pPr>
    </w:p>
    <w:p w14:paraId="261C4FDF" w14:textId="2E31DFB7" w:rsidR="00BC6145" w:rsidRPr="00592B51" w:rsidRDefault="00592B51" w:rsidP="00592B51">
      <w:pPr>
        <w:pStyle w:val="ListParagraph"/>
        <w:spacing w:after="0" w:line="240" w:lineRule="auto"/>
        <w:ind w:left="0" w:firstLine="709"/>
        <w:jc w:val="both"/>
        <w:rPr>
          <w:rFonts w:ascii="Times New Roman" w:eastAsia="Verdana" w:hAnsi="Times New Roman" w:cs="Times New Roman"/>
          <w:i/>
          <w:iCs/>
          <w:kern w:val="24"/>
          <w:sz w:val="24"/>
          <w:szCs w:val="24"/>
          <w:lang w:eastAsia="lv-LV"/>
        </w:rPr>
      </w:pPr>
      <w:r w:rsidRPr="00592B51">
        <w:rPr>
          <w:rFonts w:ascii="Times New Roman" w:eastAsia="Verdana" w:hAnsi="Times New Roman" w:cs="Times New Roman"/>
          <w:i/>
          <w:iCs/>
          <w:kern w:val="24"/>
          <w:sz w:val="24"/>
          <w:szCs w:val="24"/>
          <w:lang w:eastAsia="lv-LV"/>
        </w:rPr>
        <w:t>Komisija uzdeva Sabiedrībai par pienākumu atmaksāt no patērētāja konta noņ</w:t>
      </w:r>
      <w:r>
        <w:rPr>
          <w:rFonts w:ascii="Times New Roman" w:eastAsia="Verdana" w:hAnsi="Times New Roman" w:cs="Times New Roman"/>
          <w:i/>
          <w:iCs/>
          <w:kern w:val="24"/>
          <w:sz w:val="24"/>
          <w:szCs w:val="24"/>
          <w:lang w:eastAsia="lv-LV"/>
        </w:rPr>
        <w:t>e</w:t>
      </w:r>
      <w:r w:rsidRPr="00592B51">
        <w:rPr>
          <w:rFonts w:ascii="Times New Roman" w:eastAsia="Verdana" w:hAnsi="Times New Roman" w:cs="Times New Roman"/>
          <w:i/>
          <w:iCs/>
          <w:kern w:val="24"/>
          <w:sz w:val="24"/>
          <w:szCs w:val="24"/>
          <w:lang w:eastAsia="lv-LV"/>
        </w:rPr>
        <w:t>mtos līdzekļus.</w:t>
      </w:r>
      <w:r w:rsidR="00BC6145" w:rsidRPr="00592B51">
        <w:rPr>
          <w:rFonts w:ascii="Times New Roman" w:eastAsia="Verdana" w:hAnsi="Times New Roman" w:cs="Times New Roman"/>
          <w:i/>
          <w:iCs/>
          <w:kern w:val="24"/>
          <w:sz w:val="24"/>
          <w:szCs w:val="24"/>
          <w:lang w:eastAsia="lv-LV"/>
        </w:rPr>
        <w:t xml:space="preserve"> </w:t>
      </w:r>
    </w:p>
    <w:p w14:paraId="12DA7B7E" w14:textId="2730DE87" w:rsidR="00984D47" w:rsidRPr="00984D47" w:rsidRDefault="00984D47" w:rsidP="00BC6145">
      <w:pPr>
        <w:spacing w:after="0" w:line="240" w:lineRule="auto"/>
        <w:ind w:firstLine="720"/>
        <w:jc w:val="both"/>
        <w:rPr>
          <w:i/>
          <w:iCs/>
        </w:rPr>
      </w:pPr>
    </w:p>
    <w:p w14:paraId="609AB562" w14:textId="729B2DA3" w:rsidR="00E37282" w:rsidRPr="007A236B" w:rsidRDefault="00E37282" w:rsidP="00E37282">
      <w:pPr>
        <w:pStyle w:val="NormalWeb"/>
        <w:shd w:val="clear" w:color="auto" w:fill="FFFFFF"/>
        <w:ind w:left="-851" w:right="-483" w:firstLine="567"/>
        <w:jc w:val="both"/>
        <w:rPr>
          <w:color w:val="212529"/>
          <w:sz w:val="26"/>
          <w:szCs w:val="26"/>
        </w:rPr>
      </w:pPr>
      <w:r>
        <w:rPr>
          <w:color w:val="212529"/>
          <w:sz w:val="26"/>
          <w:szCs w:val="26"/>
        </w:rPr>
        <w:t xml:space="preserve"> </w:t>
      </w:r>
      <w:r w:rsidR="008036C2">
        <w:rPr>
          <w:noProof/>
          <w:color w:val="212529"/>
          <w:sz w:val="26"/>
          <w:szCs w:val="26"/>
        </w:rPr>
        <w:drawing>
          <wp:inline distT="0" distB="0" distL="0" distR="0" wp14:anchorId="4632A85F" wp14:editId="0C5E2E1B">
            <wp:extent cx="317500" cy="317500"/>
            <wp:effectExtent l="0" t="0" r="6350" b="0"/>
            <wp:docPr id="15" name="Graphic 15"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Laptop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17500" cy="317500"/>
                    </a:xfrm>
                    <a:prstGeom prst="rect">
                      <a:avLst/>
                    </a:prstGeom>
                  </pic:spPr>
                </pic:pic>
              </a:graphicData>
            </a:graphic>
          </wp:inline>
        </w:drawing>
      </w:r>
      <w:r w:rsidR="00597C09">
        <w:rPr>
          <w:color w:val="212529"/>
          <w:sz w:val="26"/>
          <w:szCs w:val="26"/>
        </w:rPr>
        <w:t xml:space="preserve">par </w:t>
      </w:r>
      <w:r w:rsidR="00A239BC">
        <w:rPr>
          <w:color w:val="212529"/>
          <w:sz w:val="26"/>
          <w:szCs w:val="26"/>
        </w:rPr>
        <w:t>līguma noteikumiem neatbilstošu portatīvo datoru</w:t>
      </w:r>
    </w:p>
    <w:p w14:paraId="50BCE325" w14:textId="6008C3C0" w:rsidR="00A239BC" w:rsidRPr="00D22247" w:rsidRDefault="00E37282" w:rsidP="00A239BC">
      <w:pPr>
        <w:spacing w:after="0" w:line="240" w:lineRule="auto"/>
        <w:ind w:firstLine="720"/>
        <w:jc w:val="both"/>
        <w:rPr>
          <w:rFonts w:ascii="Times New Roman" w:eastAsia="Times New Roman" w:hAnsi="Times New Roman"/>
          <w:i/>
          <w:iCs/>
          <w:sz w:val="24"/>
          <w:szCs w:val="24"/>
        </w:rPr>
      </w:pPr>
      <w:r w:rsidRPr="00F00FBC">
        <w:rPr>
          <w:rFonts w:ascii="Times New Roman" w:hAnsi="Times New Roman" w:cs="Times New Roman"/>
          <w:i/>
          <w:iCs/>
          <w:sz w:val="24"/>
          <w:szCs w:val="24"/>
        </w:rPr>
        <w:t xml:space="preserve">Citā gadījumā Komisija izskatīja strīdu saistībā </w:t>
      </w:r>
      <w:r w:rsidRPr="00BD0603">
        <w:rPr>
          <w:rFonts w:ascii="Times New Roman" w:hAnsi="Times New Roman" w:cs="Times New Roman"/>
          <w:i/>
          <w:iCs/>
          <w:sz w:val="24"/>
          <w:szCs w:val="24"/>
        </w:rPr>
        <w:t xml:space="preserve">ar </w:t>
      </w:r>
      <w:r w:rsidR="00A239BC">
        <w:rPr>
          <w:rFonts w:ascii="Times New Roman" w:hAnsi="Times New Roman" w:cs="Times New Roman"/>
          <w:i/>
          <w:iCs/>
          <w:sz w:val="24"/>
          <w:szCs w:val="24"/>
        </w:rPr>
        <w:t xml:space="preserve">līguma noteikumiem </w:t>
      </w:r>
      <w:r w:rsidR="00A239BC" w:rsidRPr="00D22247">
        <w:rPr>
          <w:rFonts w:ascii="Times New Roman" w:hAnsi="Times New Roman" w:cs="Times New Roman"/>
          <w:i/>
          <w:iCs/>
          <w:sz w:val="24"/>
          <w:szCs w:val="24"/>
        </w:rPr>
        <w:t>neatbilstošu portatīvo datoru</w:t>
      </w:r>
      <w:r w:rsidR="00597C09" w:rsidRPr="00D22247">
        <w:rPr>
          <w:rFonts w:ascii="Times New Roman" w:hAnsi="Times New Roman" w:cs="Times New Roman"/>
          <w:i/>
          <w:iCs/>
          <w:sz w:val="24"/>
          <w:szCs w:val="24"/>
        </w:rPr>
        <w:t xml:space="preserve"> – strīds bija par to, ka </w:t>
      </w:r>
      <w:r w:rsidR="00A239BC" w:rsidRPr="00D22247">
        <w:rPr>
          <w:rFonts w:ascii="Times New Roman" w:eastAsia="Times New Roman" w:hAnsi="Times New Roman"/>
          <w:i/>
          <w:iCs/>
          <w:sz w:val="24"/>
          <w:szCs w:val="24"/>
        </w:rPr>
        <w:t>patērētāja bija iegādāj</w:t>
      </w:r>
      <w:r w:rsidR="00346E41">
        <w:rPr>
          <w:rFonts w:ascii="Times New Roman" w:eastAsia="Times New Roman" w:hAnsi="Times New Roman"/>
          <w:i/>
          <w:iCs/>
          <w:sz w:val="24"/>
          <w:szCs w:val="24"/>
        </w:rPr>
        <w:t>usie</w:t>
      </w:r>
      <w:r w:rsidR="00A239BC" w:rsidRPr="00D22247">
        <w:rPr>
          <w:rFonts w:ascii="Times New Roman" w:eastAsia="Times New Roman" w:hAnsi="Times New Roman"/>
          <w:i/>
          <w:iCs/>
          <w:sz w:val="24"/>
          <w:szCs w:val="24"/>
        </w:rPr>
        <w:t>s portatīvo datoru, kuru jau pēc diviem mēnešiem nodeva remontā, jo uz melna ekrāna parādījās baltas svītras. Nepilnu gadu pēc remonta patērētāja atkārtoti vērsās pie sabiedrības, norādot, ka, ieslēdzot datoru, tam ir melns ekrāns, ka dators ne uz ko nereaģē, var redzēt arī baltas svītras uz ekrāna, kā arī var būt balts ekrāns, bet sabiedrība defektu nekonstatēja. Rezultātā patērētāja vērsās pie sabiedrības</w:t>
      </w:r>
      <w:r w:rsidR="00346E41">
        <w:rPr>
          <w:rFonts w:ascii="Times New Roman" w:eastAsia="Times New Roman" w:hAnsi="Times New Roman"/>
          <w:i/>
          <w:iCs/>
          <w:sz w:val="24"/>
          <w:szCs w:val="24"/>
        </w:rPr>
        <w:t>,</w:t>
      </w:r>
      <w:r w:rsidR="00A239BC" w:rsidRPr="00D22247">
        <w:rPr>
          <w:rFonts w:ascii="Times New Roman" w:eastAsia="Times New Roman" w:hAnsi="Times New Roman"/>
          <w:i/>
          <w:iCs/>
          <w:sz w:val="24"/>
          <w:szCs w:val="24"/>
        </w:rPr>
        <w:t xml:space="preserve"> prasot atgriezt par datoru samaksāto naudu, ņemot vērā to, ka pēc vairākkārtīgām pārbaudēm datora defekti nav novērsti, bet sabiedrība atteica patērētājas prasību, norādot, ka precei defekti nav konstatēti. </w:t>
      </w:r>
      <w:r w:rsidR="00D22247" w:rsidRPr="00D22247">
        <w:rPr>
          <w:rFonts w:ascii="Times New Roman" w:eastAsia="Times New Roman" w:hAnsi="Times New Roman"/>
          <w:i/>
          <w:iCs/>
          <w:sz w:val="24"/>
          <w:szCs w:val="24"/>
        </w:rPr>
        <w:t>Patērētāja</w:t>
      </w:r>
      <w:r w:rsidR="00346E41">
        <w:rPr>
          <w:rFonts w:ascii="Times New Roman" w:eastAsia="Times New Roman" w:hAnsi="Times New Roman"/>
          <w:i/>
          <w:iCs/>
          <w:sz w:val="24"/>
          <w:szCs w:val="24"/>
        </w:rPr>
        <w:t>, nofilmējot</w:t>
      </w:r>
      <w:r w:rsidR="00D22247" w:rsidRPr="00D22247">
        <w:rPr>
          <w:rFonts w:ascii="Times New Roman" w:eastAsia="Times New Roman" w:hAnsi="Times New Roman"/>
          <w:i/>
          <w:iCs/>
          <w:sz w:val="24"/>
          <w:szCs w:val="24"/>
        </w:rPr>
        <w:t xml:space="preserve"> konstatēto defektu, vērsās atkārtoti pie sabiedrības, bet sabiedrība atkal defektu nekonstatēja. </w:t>
      </w:r>
      <w:r w:rsidR="00A239BC" w:rsidRPr="00D22247">
        <w:rPr>
          <w:rFonts w:ascii="Times New Roman" w:eastAsia="Times New Roman" w:hAnsi="Times New Roman"/>
          <w:i/>
          <w:iCs/>
          <w:sz w:val="24"/>
          <w:szCs w:val="24"/>
        </w:rPr>
        <w:t>Patērētāja pasūtīja un saņēma tehnisko apskates aktu, kurā konstatēts, ka datoram neieslēdzas monitors, ja akumulators ir zems. Ieslēgšana notiek tikai tad, kad uzlāde ir vismaz 80%. Šis darbības traucējums varētu būt attiecināms uz mātes plates defektu.</w:t>
      </w:r>
    </w:p>
    <w:p w14:paraId="6F039610" w14:textId="77777777" w:rsidR="00D22247" w:rsidRPr="00D22247" w:rsidRDefault="00D22247" w:rsidP="00D22247">
      <w:pPr>
        <w:spacing w:after="0" w:line="240" w:lineRule="auto"/>
        <w:ind w:firstLine="720"/>
        <w:jc w:val="both"/>
        <w:rPr>
          <w:rFonts w:ascii="Times New Roman" w:eastAsia="Times New Roman" w:hAnsi="Times New Roman"/>
          <w:i/>
          <w:iCs/>
          <w:sz w:val="24"/>
          <w:szCs w:val="24"/>
        </w:rPr>
      </w:pPr>
    </w:p>
    <w:p w14:paraId="3E91AAF9" w14:textId="4B4A8DAB" w:rsidR="00D22247" w:rsidRPr="00D22247" w:rsidRDefault="00D22247" w:rsidP="00D22247">
      <w:pPr>
        <w:spacing w:after="0" w:line="240" w:lineRule="auto"/>
        <w:ind w:firstLine="720"/>
        <w:jc w:val="both"/>
        <w:rPr>
          <w:rFonts w:ascii="Times New Roman" w:eastAsia="Times New Roman" w:hAnsi="Times New Roman"/>
          <w:i/>
          <w:iCs/>
          <w:sz w:val="24"/>
          <w:szCs w:val="24"/>
        </w:rPr>
      </w:pPr>
      <w:r w:rsidRPr="00D22247">
        <w:rPr>
          <w:rFonts w:ascii="Times New Roman" w:eastAsia="Times New Roman" w:hAnsi="Times New Roman"/>
          <w:i/>
          <w:iCs/>
          <w:sz w:val="24"/>
          <w:szCs w:val="24"/>
        </w:rPr>
        <w:t>Komisija, izvērtējot lietā esošos dokumentus, patērētājas iesniegtos videoierakstus, kuros fiksētas datoram konstatētās neatbilstības, kā arī iesniegtos fotoattēlus, secin</w:t>
      </w:r>
      <w:r w:rsidR="00346E41">
        <w:rPr>
          <w:rFonts w:ascii="Times New Roman" w:eastAsia="Times New Roman" w:hAnsi="Times New Roman"/>
          <w:i/>
          <w:iCs/>
          <w:sz w:val="24"/>
          <w:szCs w:val="24"/>
        </w:rPr>
        <w:t>āja</w:t>
      </w:r>
      <w:r w:rsidRPr="00D22247">
        <w:rPr>
          <w:rFonts w:ascii="Times New Roman" w:eastAsia="Times New Roman" w:hAnsi="Times New Roman"/>
          <w:i/>
          <w:iCs/>
          <w:sz w:val="24"/>
          <w:szCs w:val="24"/>
        </w:rPr>
        <w:t>, ka patērētājas pieteiktais defekts ir acīmredzams un nerodas šaubas, ka iegādātajam datoram ir konstatējamas neatbilstības. Komisija norādīja, ka nav saprotam</w:t>
      </w:r>
      <w:r w:rsidR="00346E41">
        <w:rPr>
          <w:rFonts w:ascii="Times New Roman" w:eastAsia="Times New Roman" w:hAnsi="Times New Roman"/>
          <w:i/>
          <w:iCs/>
          <w:sz w:val="24"/>
          <w:szCs w:val="24"/>
        </w:rPr>
        <w:t>s</w:t>
      </w:r>
      <w:r w:rsidRPr="00D22247">
        <w:rPr>
          <w:rFonts w:ascii="Times New Roman" w:eastAsia="Times New Roman" w:hAnsi="Times New Roman"/>
          <w:i/>
          <w:iCs/>
          <w:sz w:val="24"/>
          <w:szCs w:val="24"/>
        </w:rPr>
        <w:t>, kādēļ sabiedrība, veicot datora pārbaudi</w:t>
      </w:r>
      <w:r w:rsidR="00346E41">
        <w:rPr>
          <w:rFonts w:ascii="Times New Roman" w:eastAsia="Times New Roman" w:hAnsi="Times New Roman"/>
          <w:i/>
          <w:iCs/>
          <w:sz w:val="24"/>
          <w:szCs w:val="24"/>
        </w:rPr>
        <w:t>,</w:t>
      </w:r>
      <w:r w:rsidRPr="00D22247">
        <w:rPr>
          <w:rFonts w:ascii="Times New Roman" w:eastAsia="Times New Roman" w:hAnsi="Times New Roman"/>
          <w:i/>
          <w:iCs/>
          <w:sz w:val="24"/>
          <w:szCs w:val="24"/>
        </w:rPr>
        <w:t xml:space="preserve"> nekonstatēja portatīvā datora defektus</w:t>
      </w:r>
      <w:r w:rsidR="00346E41">
        <w:rPr>
          <w:rFonts w:ascii="Times New Roman" w:eastAsia="Times New Roman" w:hAnsi="Times New Roman"/>
          <w:i/>
          <w:iCs/>
          <w:sz w:val="24"/>
          <w:szCs w:val="24"/>
        </w:rPr>
        <w:t>.</w:t>
      </w:r>
    </w:p>
    <w:p w14:paraId="30AC75DE" w14:textId="30CF1EA5" w:rsidR="00D22247" w:rsidRPr="00D22247" w:rsidRDefault="00D22247" w:rsidP="00D22247">
      <w:pPr>
        <w:spacing w:after="0" w:line="240" w:lineRule="auto"/>
        <w:ind w:firstLine="720"/>
        <w:jc w:val="both"/>
        <w:rPr>
          <w:rFonts w:ascii="Times New Roman" w:hAnsi="Times New Roman" w:cs="Times New Roman"/>
          <w:i/>
          <w:iCs/>
          <w:sz w:val="26"/>
          <w:szCs w:val="26"/>
        </w:rPr>
      </w:pPr>
      <w:r w:rsidRPr="00D22247">
        <w:rPr>
          <w:rFonts w:ascii="Times New Roman" w:eastAsia="Times New Roman" w:hAnsi="Times New Roman"/>
          <w:i/>
          <w:iCs/>
          <w:sz w:val="24"/>
          <w:szCs w:val="24"/>
        </w:rPr>
        <w:t>Komisija, izvērtējot iesniegtos pierādījumus, videoierakstus, piekr</w:t>
      </w:r>
      <w:r w:rsidR="00B3634B">
        <w:rPr>
          <w:rFonts w:ascii="Times New Roman" w:eastAsia="Times New Roman" w:hAnsi="Times New Roman"/>
          <w:i/>
          <w:iCs/>
          <w:sz w:val="24"/>
          <w:szCs w:val="24"/>
        </w:rPr>
        <w:t>i</w:t>
      </w:r>
      <w:r w:rsidRPr="00D22247">
        <w:rPr>
          <w:rFonts w:ascii="Times New Roman" w:eastAsia="Times New Roman" w:hAnsi="Times New Roman"/>
          <w:i/>
          <w:iCs/>
          <w:sz w:val="24"/>
          <w:szCs w:val="24"/>
        </w:rPr>
        <w:t>t</w:t>
      </w:r>
      <w:r w:rsidR="00B3634B">
        <w:rPr>
          <w:rFonts w:ascii="Times New Roman" w:eastAsia="Times New Roman" w:hAnsi="Times New Roman"/>
          <w:i/>
          <w:iCs/>
          <w:sz w:val="24"/>
          <w:szCs w:val="24"/>
        </w:rPr>
        <w:t>a</w:t>
      </w:r>
      <w:r w:rsidRPr="00D22247">
        <w:rPr>
          <w:rFonts w:ascii="Times New Roman" w:eastAsia="Times New Roman" w:hAnsi="Times New Roman"/>
          <w:i/>
          <w:iCs/>
          <w:sz w:val="24"/>
          <w:szCs w:val="24"/>
        </w:rPr>
        <w:t xml:space="preserve"> patērētājas iegūtajā tehniskajā apskates aktā norādītajam, ka konstatētie defekti (melns ekrāns, svītras uz ekrāna) varētu būt saistītas ar neatbilstošu datora mātes plati. Ievērojot, ka sabiedrība </w:t>
      </w:r>
      <w:r w:rsidR="00B3634B">
        <w:rPr>
          <w:rFonts w:ascii="Times New Roman" w:eastAsia="Times New Roman" w:hAnsi="Times New Roman"/>
          <w:i/>
          <w:iCs/>
          <w:sz w:val="24"/>
          <w:szCs w:val="24"/>
        </w:rPr>
        <w:t>nebija</w:t>
      </w:r>
      <w:r w:rsidR="00B3634B" w:rsidRPr="00D22247">
        <w:rPr>
          <w:rFonts w:ascii="Times New Roman" w:eastAsia="Times New Roman" w:hAnsi="Times New Roman"/>
          <w:i/>
          <w:iCs/>
          <w:sz w:val="24"/>
          <w:szCs w:val="24"/>
        </w:rPr>
        <w:t xml:space="preserve"> </w:t>
      </w:r>
      <w:r w:rsidRPr="00D22247">
        <w:rPr>
          <w:rFonts w:ascii="Times New Roman" w:eastAsia="Times New Roman" w:hAnsi="Times New Roman"/>
          <w:i/>
          <w:iCs/>
          <w:sz w:val="24"/>
          <w:szCs w:val="24"/>
        </w:rPr>
        <w:t>iesniegusi pierādījumus, kas apliecin</w:t>
      </w:r>
      <w:r w:rsidR="00B3634B">
        <w:rPr>
          <w:rFonts w:ascii="Times New Roman" w:eastAsia="Times New Roman" w:hAnsi="Times New Roman"/>
          <w:i/>
          <w:iCs/>
          <w:sz w:val="24"/>
          <w:szCs w:val="24"/>
        </w:rPr>
        <w:t>ātu</w:t>
      </w:r>
      <w:r w:rsidRPr="00D22247">
        <w:rPr>
          <w:rFonts w:ascii="Times New Roman" w:eastAsia="Times New Roman" w:hAnsi="Times New Roman"/>
          <w:i/>
          <w:iCs/>
          <w:sz w:val="24"/>
          <w:szCs w:val="24"/>
        </w:rPr>
        <w:t xml:space="preserve"> pretējo</w:t>
      </w:r>
      <w:r w:rsidR="00B3634B">
        <w:rPr>
          <w:rFonts w:ascii="Times New Roman" w:eastAsia="Times New Roman" w:hAnsi="Times New Roman"/>
          <w:i/>
          <w:iCs/>
          <w:sz w:val="24"/>
          <w:szCs w:val="24"/>
        </w:rPr>
        <w:t>,</w:t>
      </w:r>
      <w:r w:rsidRPr="00D22247">
        <w:rPr>
          <w:rFonts w:ascii="Times New Roman" w:eastAsia="Times New Roman" w:hAnsi="Times New Roman"/>
          <w:i/>
          <w:iCs/>
          <w:sz w:val="24"/>
          <w:szCs w:val="24"/>
        </w:rPr>
        <w:t xml:space="preserve"> Komisija secināja, ka patērētājas iegādātais dators ir līguma noteikumiem neatbilstošs</w:t>
      </w:r>
      <w:r w:rsidR="00B3634B">
        <w:rPr>
          <w:rFonts w:ascii="Times New Roman" w:eastAsia="Times New Roman" w:hAnsi="Times New Roman"/>
          <w:i/>
          <w:iCs/>
          <w:sz w:val="24"/>
          <w:szCs w:val="24"/>
        </w:rPr>
        <w:t>,</w:t>
      </w:r>
      <w:r w:rsidRPr="00D22247">
        <w:rPr>
          <w:rFonts w:ascii="Times New Roman" w:eastAsia="Times New Roman" w:hAnsi="Times New Roman"/>
          <w:i/>
          <w:iCs/>
          <w:sz w:val="24"/>
          <w:szCs w:val="24"/>
        </w:rPr>
        <w:t xml:space="preserve"> un uzdeva par pienākumu atmaksāt patērētājai par portatīvo datoru samaksāto naudu.</w:t>
      </w:r>
    </w:p>
    <w:p w14:paraId="0B8BE152" w14:textId="6E2B0406" w:rsidR="00D22247" w:rsidRPr="00D22247" w:rsidRDefault="00D22247" w:rsidP="0033226A">
      <w:pPr>
        <w:ind w:left="-851" w:right="-483" w:firstLine="567"/>
        <w:jc w:val="both"/>
        <w:rPr>
          <w:rFonts w:ascii="Times New Roman" w:hAnsi="Times New Roman" w:cs="Times New Roman"/>
          <w:i/>
          <w:iCs/>
          <w:sz w:val="26"/>
          <w:szCs w:val="26"/>
        </w:rPr>
      </w:pPr>
    </w:p>
    <w:sectPr w:rsidR="00D22247" w:rsidRPr="00D222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6A"/>
    <w:rsid w:val="00017701"/>
    <w:rsid w:val="00057343"/>
    <w:rsid w:val="00066CE5"/>
    <w:rsid w:val="000749EE"/>
    <w:rsid w:val="00083B51"/>
    <w:rsid w:val="000D5570"/>
    <w:rsid w:val="000E13D8"/>
    <w:rsid w:val="0010758C"/>
    <w:rsid w:val="00166A8C"/>
    <w:rsid w:val="001E0729"/>
    <w:rsid w:val="0024148D"/>
    <w:rsid w:val="00282AFF"/>
    <w:rsid w:val="002837EA"/>
    <w:rsid w:val="0029163C"/>
    <w:rsid w:val="002B29A5"/>
    <w:rsid w:val="002D295F"/>
    <w:rsid w:val="002D3449"/>
    <w:rsid w:val="0033226A"/>
    <w:rsid w:val="00346E41"/>
    <w:rsid w:val="00380481"/>
    <w:rsid w:val="00380ED1"/>
    <w:rsid w:val="00391238"/>
    <w:rsid w:val="003F2331"/>
    <w:rsid w:val="00400159"/>
    <w:rsid w:val="00417307"/>
    <w:rsid w:val="0044711A"/>
    <w:rsid w:val="00467B69"/>
    <w:rsid w:val="00482EE2"/>
    <w:rsid w:val="00497D8B"/>
    <w:rsid w:val="00497E8B"/>
    <w:rsid w:val="004A6D53"/>
    <w:rsid w:val="00516214"/>
    <w:rsid w:val="00530715"/>
    <w:rsid w:val="00555BC0"/>
    <w:rsid w:val="00570CA0"/>
    <w:rsid w:val="00592B51"/>
    <w:rsid w:val="00597C09"/>
    <w:rsid w:val="005F5EBE"/>
    <w:rsid w:val="006125AD"/>
    <w:rsid w:val="0061492A"/>
    <w:rsid w:val="006500DC"/>
    <w:rsid w:val="006A664B"/>
    <w:rsid w:val="006F319C"/>
    <w:rsid w:val="00706DBC"/>
    <w:rsid w:val="007A017E"/>
    <w:rsid w:val="007A236B"/>
    <w:rsid w:val="007C1071"/>
    <w:rsid w:val="007C6CB2"/>
    <w:rsid w:val="008036C2"/>
    <w:rsid w:val="00816328"/>
    <w:rsid w:val="00833C6E"/>
    <w:rsid w:val="008530E4"/>
    <w:rsid w:val="00875AB9"/>
    <w:rsid w:val="008C2B9E"/>
    <w:rsid w:val="008E5F42"/>
    <w:rsid w:val="008F5A66"/>
    <w:rsid w:val="00927833"/>
    <w:rsid w:val="00953E76"/>
    <w:rsid w:val="0098318F"/>
    <w:rsid w:val="00984D47"/>
    <w:rsid w:val="009A75F1"/>
    <w:rsid w:val="009C6E37"/>
    <w:rsid w:val="009D551D"/>
    <w:rsid w:val="00A239BC"/>
    <w:rsid w:val="00A242BA"/>
    <w:rsid w:val="00A52D38"/>
    <w:rsid w:val="00A84A15"/>
    <w:rsid w:val="00A93C98"/>
    <w:rsid w:val="00AD17C8"/>
    <w:rsid w:val="00B3447F"/>
    <w:rsid w:val="00B3634B"/>
    <w:rsid w:val="00B507E7"/>
    <w:rsid w:val="00B71DB7"/>
    <w:rsid w:val="00BC6145"/>
    <w:rsid w:val="00BC665A"/>
    <w:rsid w:val="00BD0603"/>
    <w:rsid w:val="00C24EF5"/>
    <w:rsid w:val="00C416F7"/>
    <w:rsid w:val="00C7036E"/>
    <w:rsid w:val="00CC732A"/>
    <w:rsid w:val="00CE4277"/>
    <w:rsid w:val="00CE682D"/>
    <w:rsid w:val="00D22247"/>
    <w:rsid w:val="00D85D80"/>
    <w:rsid w:val="00E07AF4"/>
    <w:rsid w:val="00E37282"/>
    <w:rsid w:val="00E476A8"/>
    <w:rsid w:val="00E6744E"/>
    <w:rsid w:val="00ED37A4"/>
    <w:rsid w:val="00ED3C5F"/>
    <w:rsid w:val="00EE68DE"/>
    <w:rsid w:val="00EF08C7"/>
    <w:rsid w:val="00F00FBC"/>
    <w:rsid w:val="00F07E39"/>
    <w:rsid w:val="00F4774F"/>
    <w:rsid w:val="00FF467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14A2"/>
  <w15:chartTrackingRefBased/>
  <w15:docId w15:val="{708F3B7D-56D6-432E-B3B2-E02A28A5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226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33226A"/>
    <w:rPr>
      <w:color w:val="0000FF"/>
      <w:u w:val="single"/>
    </w:rPr>
  </w:style>
  <w:style w:type="paragraph" w:customStyle="1" w:styleId="tv213">
    <w:name w:val="tv213"/>
    <w:basedOn w:val="Normal"/>
    <w:rsid w:val="00F477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380ED1"/>
    <w:rPr>
      <w:sz w:val="16"/>
      <w:szCs w:val="16"/>
    </w:rPr>
  </w:style>
  <w:style w:type="paragraph" w:styleId="CommentText">
    <w:name w:val="annotation text"/>
    <w:basedOn w:val="Normal"/>
    <w:link w:val="CommentTextChar"/>
    <w:uiPriority w:val="99"/>
    <w:unhideWhenUsed/>
    <w:rsid w:val="00380ED1"/>
    <w:pPr>
      <w:spacing w:line="240" w:lineRule="auto"/>
    </w:pPr>
    <w:rPr>
      <w:sz w:val="20"/>
      <w:szCs w:val="20"/>
    </w:rPr>
  </w:style>
  <w:style w:type="character" w:customStyle="1" w:styleId="CommentTextChar">
    <w:name w:val="Comment Text Char"/>
    <w:basedOn w:val="DefaultParagraphFont"/>
    <w:link w:val="CommentText"/>
    <w:uiPriority w:val="99"/>
    <w:rsid w:val="00380ED1"/>
    <w:rPr>
      <w:sz w:val="20"/>
      <w:szCs w:val="20"/>
    </w:rPr>
  </w:style>
  <w:style w:type="paragraph" w:styleId="CommentSubject">
    <w:name w:val="annotation subject"/>
    <w:basedOn w:val="CommentText"/>
    <w:next w:val="CommentText"/>
    <w:link w:val="CommentSubjectChar"/>
    <w:uiPriority w:val="99"/>
    <w:semiHidden/>
    <w:unhideWhenUsed/>
    <w:rsid w:val="00380ED1"/>
    <w:rPr>
      <w:b/>
      <w:bCs/>
    </w:rPr>
  </w:style>
  <w:style w:type="character" w:customStyle="1" w:styleId="CommentSubjectChar">
    <w:name w:val="Comment Subject Char"/>
    <w:basedOn w:val="CommentTextChar"/>
    <w:link w:val="CommentSubject"/>
    <w:uiPriority w:val="99"/>
    <w:semiHidden/>
    <w:rsid w:val="00380ED1"/>
    <w:rPr>
      <w:b/>
      <w:bCs/>
      <w:sz w:val="20"/>
      <w:szCs w:val="20"/>
    </w:rPr>
  </w:style>
  <w:style w:type="paragraph" w:styleId="BalloonText">
    <w:name w:val="Balloon Text"/>
    <w:basedOn w:val="Normal"/>
    <w:link w:val="BalloonTextChar"/>
    <w:uiPriority w:val="99"/>
    <w:semiHidden/>
    <w:unhideWhenUsed/>
    <w:rsid w:val="00380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ED1"/>
    <w:rPr>
      <w:rFonts w:ascii="Segoe UI" w:hAnsi="Segoe UI" w:cs="Segoe UI"/>
      <w:sz w:val="18"/>
      <w:szCs w:val="18"/>
    </w:rPr>
  </w:style>
  <w:style w:type="character" w:styleId="UnresolvedMention">
    <w:name w:val="Unresolved Mention"/>
    <w:basedOn w:val="DefaultParagraphFont"/>
    <w:uiPriority w:val="99"/>
    <w:semiHidden/>
    <w:unhideWhenUsed/>
    <w:rsid w:val="00083B51"/>
    <w:rPr>
      <w:color w:val="605E5C"/>
      <w:shd w:val="clear" w:color="auto" w:fill="E1DFDD"/>
    </w:rPr>
  </w:style>
  <w:style w:type="character" w:styleId="FollowedHyperlink">
    <w:name w:val="FollowedHyperlink"/>
    <w:basedOn w:val="DefaultParagraphFont"/>
    <w:uiPriority w:val="99"/>
    <w:semiHidden/>
    <w:unhideWhenUsed/>
    <w:rsid w:val="00467B69"/>
    <w:rPr>
      <w:color w:val="954F72" w:themeColor="followedHyperlink"/>
      <w:u w:val="single"/>
    </w:rPr>
  </w:style>
  <w:style w:type="paragraph" w:styleId="Revision">
    <w:name w:val="Revision"/>
    <w:hidden/>
    <w:uiPriority w:val="99"/>
    <w:semiHidden/>
    <w:rsid w:val="00B71DB7"/>
    <w:pPr>
      <w:spacing w:after="0" w:line="240" w:lineRule="auto"/>
    </w:pPr>
  </w:style>
  <w:style w:type="paragraph" w:styleId="ListParagraph">
    <w:name w:val="List Paragraph"/>
    <w:basedOn w:val="Normal"/>
    <w:uiPriority w:val="34"/>
    <w:qFormat/>
    <w:rsid w:val="00BC6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059">
      <w:bodyDiv w:val="1"/>
      <w:marLeft w:val="0"/>
      <w:marRight w:val="0"/>
      <w:marTop w:val="0"/>
      <w:marBottom w:val="0"/>
      <w:divBdr>
        <w:top w:val="none" w:sz="0" w:space="0" w:color="auto"/>
        <w:left w:val="none" w:sz="0" w:space="0" w:color="auto"/>
        <w:bottom w:val="none" w:sz="0" w:space="0" w:color="auto"/>
        <w:right w:val="none" w:sz="0" w:space="0" w:color="auto"/>
      </w:divBdr>
    </w:div>
    <w:div w:id="89935207">
      <w:bodyDiv w:val="1"/>
      <w:marLeft w:val="0"/>
      <w:marRight w:val="0"/>
      <w:marTop w:val="0"/>
      <w:marBottom w:val="0"/>
      <w:divBdr>
        <w:top w:val="none" w:sz="0" w:space="0" w:color="auto"/>
        <w:left w:val="none" w:sz="0" w:space="0" w:color="auto"/>
        <w:bottom w:val="none" w:sz="0" w:space="0" w:color="auto"/>
        <w:right w:val="none" w:sz="0" w:space="0" w:color="auto"/>
      </w:divBdr>
    </w:div>
    <w:div w:id="216478044">
      <w:bodyDiv w:val="1"/>
      <w:marLeft w:val="0"/>
      <w:marRight w:val="0"/>
      <w:marTop w:val="0"/>
      <w:marBottom w:val="0"/>
      <w:divBdr>
        <w:top w:val="none" w:sz="0" w:space="0" w:color="auto"/>
        <w:left w:val="none" w:sz="0" w:space="0" w:color="auto"/>
        <w:bottom w:val="none" w:sz="0" w:space="0" w:color="auto"/>
        <w:right w:val="none" w:sz="0" w:space="0" w:color="auto"/>
      </w:divBdr>
    </w:div>
    <w:div w:id="347679333">
      <w:bodyDiv w:val="1"/>
      <w:marLeft w:val="0"/>
      <w:marRight w:val="0"/>
      <w:marTop w:val="0"/>
      <w:marBottom w:val="0"/>
      <w:divBdr>
        <w:top w:val="none" w:sz="0" w:space="0" w:color="auto"/>
        <w:left w:val="none" w:sz="0" w:space="0" w:color="auto"/>
        <w:bottom w:val="none" w:sz="0" w:space="0" w:color="auto"/>
        <w:right w:val="none" w:sz="0" w:space="0" w:color="auto"/>
      </w:divBdr>
    </w:div>
    <w:div w:id="459224353">
      <w:bodyDiv w:val="1"/>
      <w:marLeft w:val="0"/>
      <w:marRight w:val="0"/>
      <w:marTop w:val="0"/>
      <w:marBottom w:val="0"/>
      <w:divBdr>
        <w:top w:val="none" w:sz="0" w:space="0" w:color="auto"/>
        <w:left w:val="none" w:sz="0" w:space="0" w:color="auto"/>
        <w:bottom w:val="none" w:sz="0" w:space="0" w:color="auto"/>
        <w:right w:val="none" w:sz="0" w:space="0" w:color="auto"/>
      </w:divBdr>
    </w:div>
    <w:div w:id="500203122">
      <w:bodyDiv w:val="1"/>
      <w:marLeft w:val="0"/>
      <w:marRight w:val="0"/>
      <w:marTop w:val="0"/>
      <w:marBottom w:val="0"/>
      <w:divBdr>
        <w:top w:val="none" w:sz="0" w:space="0" w:color="auto"/>
        <w:left w:val="none" w:sz="0" w:space="0" w:color="auto"/>
        <w:bottom w:val="none" w:sz="0" w:space="0" w:color="auto"/>
        <w:right w:val="none" w:sz="0" w:space="0" w:color="auto"/>
      </w:divBdr>
    </w:div>
    <w:div w:id="714083909">
      <w:bodyDiv w:val="1"/>
      <w:marLeft w:val="0"/>
      <w:marRight w:val="0"/>
      <w:marTop w:val="0"/>
      <w:marBottom w:val="0"/>
      <w:divBdr>
        <w:top w:val="none" w:sz="0" w:space="0" w:color="auto"/>
        <w:left w:val="none" w:sz="0" w:space="0" w:color="auto"/>
        <w:bottom w:val="none" w:sz="0" w:space="0" w:color="auto"/>
        <w:right w:val="none" w:sz="0" w:space="0" w:color="auto"/>
      </w:divBdr>
    </w:div>
    <w:div w:id="946740931">
      <w:bodyDiv w:val="1"/>
      <w:marLeft w:val="0"/>
      <w:marRight w:val="0"/>
      <w:marTop w:val="0"/>
      <w:marBottom w:val="0"/>
      <w:divBdr>
        <w:top w:val="none" w:sz="0" w:space="0" w:color="auto"/>
        <w:left w:val="none" w:sz="0" w:space="0" w:color="auto"/>
        <w:bottom w:val="none" w:sz="0" w:space="0" w:color="auto"/>
        <w:right w:val="none" w:sz="0" w:space="0" w:color="auto"/>
      </w:divBdr>
    </w:div>
    <w:div w:id="1105809255">
      <w:bodyDiv w:val="1"/>
      <w:marLeft w:val="0"/>
      <w:marRight w:val="0"/>
      <w:marTop w:val="0"/>
      <w:marBottom w:val="0"/>
      <w:divBdr>
        <w:top w:val="none" w:sz="0" w:space="0" w:color="auto"/>
        <w:left w:val="none" w:sz="0" w:space="0" w:color="auto"/>
        <w:bottom w:val="none" w:sz="0" w:space="0" w:color="auto"/>
        <w:right w:val="none" w:sz="0" w:space="0" w:color="auto"/>
      </w:divBdr>
    </w:div>
    <w:div w:id="1399596587">
      <w:bodyDiv w:val="1"/>
      <w:marLeft w:val="0"/>
      <w:marRight w:val="0"/>
      <w:marTop w:val="0"/>
      <w:marBottom w:val="0"/>
      <w:divBdr>
        <w:top w:val="none" w:sz="0" w:space="0" w:color="auto"/>
        <w:left w:val="none" w:sz="0" w:space="0" w:color="auto"/>
        <w:bottom w:val="none" w:sz="0" w:space="0" w:color="auto"/>
        <w:right w:val="none" w:sz="0" w:space="0" w:color="auto"/>
      </w:divBdr>
    </w:div>
    <w:div w:id="1609196459">
      <w:bodyDiv w:val="1"/>
      <w:marLeft w:val="0"/>
      <w:marRight w:val="0"/>
      <w:marTop w:val="0"/>
      <w:marBottom w:val="0"/>
      <w:divBdr>
        <w:top w:val="none" w:sz="0" w:space="0" w:color="auto"/>
        <w:left w:val="none" w:sz="0" w:space="0" w:color="auto"/>
        <w:bottom w:val="none" w:sz="0" w:space="0" w:color="auto"/>
        <w:right w:val="none" w:sz="0" w:space="0" w:color="auto"/>
      </w:divBdr>
    </w:div>
    <w:div w:id="19230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18" Type="http://schemas.openxmlformats.org/officeDocument/2006/relationships/image" Target="media/image13.png"/><Relationship Id="rId26" Type="http://schemas.openxmlformats.org/officeDocument/2006/relationships/image" Target="media/image20.svg"/><Relationship Id="rId3" Type="http://schemas.openxmlformats.org/officeDocument/2006/relationships/webSettings" Target="webSettings.xml"/><Relationship Id="rId21" Type="http://schemas.openxmlformats.org/officeDocument/2006/relationships/image" Target="media/image16.svg"/><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svg"/><Relationship Id="rId25"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8.svg"/><Relationship Id="rId5" Type="http://schemas.openxmlformats.org/officeDocument/2006/relationships/chart" Target="charts/chart1.xml"/><Relationship Id="rId15" Type="http://schemas.openxmlformats.org/officeDocument/2006/relationships/image" Target="media/image10.sv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svg"/><Relationship Id="rId4" Type="http://schemas.openxmlformats.org/officeDocument/2006/relationships/hyperlink" Target="https://registri.ptac.gov.lv/registri/melnais-saraksts" TargetMode="Externa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erantei\Desktop\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K</a:t>
            </a:r>
            <a:r>
              <a:rPr lang="lv-LV" sz="1200"/>
              <a:t>omisijā</a:t>
            </a:r>
            <a:r>
              <a:rPr lang="lv-LV" sz="1200" baseline="0"/>
              <a:t> saņemto iesniegumu skaits no 2016. - 2023.gadam</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Sheet1!$C$4:$C$11</c:f>
              <c:numCache>
                <c:formatCode>General</c:formatCode>
                <c:ptCount val="8"/>
                <c:pt idx="0">
                  <c:v>2016</c:v>
                </c:pt>
                <c:pt idx="1">
                  <c:v>2017</c:v>
                </c:pt>
                <c:pt idx="2">
                  <c:v>2018</c:v>
                </c:pt>
                <c:pt idx="3">
                  <c:v>2019</c:v>
                </c:pt>
                <c:pt idx="4">
                  <c:v>2020</c:v>
                </c:pt>
                <c:pt idx="5">
                  <c:v>2021</c:v>
                </c:pt>
                <c:pt idx="6">
                  <c:v>2022</c:v>
                </c:pt>
                <c:pt idx="7">
                  <c:v>2023</c:v>
                </c:pt>
              </c:numCache>
            </c:numRef>
          </c:cat>
          <c:val>
            <c:numRef>
              <c:f>Sheet1!$D$4:$D$11</c:f>
              <c:numCache>
                <c:formatCode>General</c:formatCode>
                <c:ptCount val="8"/>
                <c:pt idx="0">
                  <c:v>25</c:v>
                </c:pt>
                <c:pt idx="1">
                  <c:v>130</c:v>
                </c:pt>
                <c:pt idx="2">
                  <c:v>118</c:v>
                </c:pt>
                <c:pt idx="3">
                  <c:v>176</c:v>
                </c:pt>
                <c:pt idx="4">
                  <c:v>198</c:v>
                </c:pt>
                <c:pt idx="5">
                  <c:v>256</c:v>
                </c:pt>
                <c:pt idx="6">
                  <c:v>245</c:v>
                </c:pt>
                <c:pt idx="7">
                  <c:v>223</c:v>
                </c:pt>
              </c:numCache>
            </c:numRef>
          </c:val>
          <c:extLst>
            <c:ext xmlns:c16="http://schemas.microsoft.com/office/drawing/2014/chart" uri="{C3380CC4-5D6E-409C-BE32-E72D297353CC}">
              <c16:uniqueId val="{00000000-2342-449D-A240-5D5D3F109F4B}"/>
            </c:ext>
          </c:extLst>
        </c:ser>
        <c:dLbls>
          <c:showLegendKey val="0"/>
          <c:showVal val="0"/>
          <c:showCatName val="0"/>
          <c:showSerName val="0"/>
          <c:showPercent val="0"/>
          <c:showBubbleSize val="0"/>
        </c:dLbls>
        <c:gapWidth val="219"/>
        <c:overlap val="-27"/>
        <c:axId val="816834703"/>
        <c:axId val="918301695"/>
      </c:barChart>
      <c:catAx>
        <c:axId val="816834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18301695"/>
        <c:crosses val="autoZero"/>
        <c:auto val="1"/>
        <c:lblAlgn val="ctr"/>
        <c:lblOffset val="100"/>
        <c:noMultiLvlLbl val="0"/>
      </c:catAx>
      <c:valAx>
        <c:axId val="918301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168347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a:t>Komisij</a:t>
            </a:r>
            <a:r>
              <a:rPr lang="lv-LV" sz="1200"/>
              <a:t>ā pieņemtie lēmumi</a:t>
            </a:r>
            <a:endParaRPr lang="en-US" sz="1200"/>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3376453992949448"/>
          <c:w val="0.68888888888888888"/>
          <c:h val="0.55058233059362516"/>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15D-4021-AC21-F9E338DDF42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15D-4021-AC21-F9E338DDF42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15D-4021-AC21-F9E338DDF42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15D-4021-AC21-F9E338DDF42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outEnd"/>
              <c:showLegendKey val="0"/>
              <c:showVal val="1"/>
              <c:showCatName val="1"/>
              <c:showSerName val="0"/>
              <c:showPercent val="0"/>
              <c:showBubbleSize val="0"/>
              <c:extLst>
                <c:ext xmlns:c16="http://schemas.microsoft.com/office/drawing/2014/chart" uri="{C3380CC4-5D6E-409C-BE32-E72D297353CC}">
                  <c16:uniqueId val="{00000001-A15D-4021-AC21-F9E338DDF42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v-LV"/>
                </a:p>
              </c:txPr>
              <c:dLblPos val="outEnd"/>
              <c:showLegendKey val="0"/>
              <c:showVal val="1"/>
              <c:showCatName val="1"/>
              <c:showSerName val="0"/>
              <c:showPercent val="0"/>
              <c:showBubbleSize val="0"/>
              <c:extLst>
                <c:ext xmlns:c16="http://schemas.microsoft.com/office/drawing/2014/chart" uri="{C3380CC4-5D6E-409C-BE32-E72D297353CC}">
                  <c16:uniqueId val="{00000003-A15D-4021-AC21-F9E338DDF423}"/>
                </c:ext>
              </c:extLst>
            </c:dLbl>
            <c:dLbl>
              <c:idx val="2"/>
              <c:layout>
                <c:manualLayout>
                  <c:x val="-5.000000000000001E-2"/>
                  <c:y val="3.10478528087305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15:layout>
                    <c:manualLayout>
                      <c:w val="0.16962489063867017"/>
                      <c:h val="0.18323407799285815"/>
                    </c:manualLayout>
                  </c15:layout>
                </c:ext>
                <c:ext xmlns:c16="http://schemas.microsoft.com/office/drawing/2014/chart" uri="{C3380CC4-5D6E-409C-BE32-E72D297353CC}">
                  <c16:uniqueId val="{00000005-A15D-4021-AC21-F9E338DDF423}"/>
                </c:ext>
              </c:extLst>
            </c:dLbl>
            <c:dLbl>
              <c:idx val="3"/>
              <c:layout>
                <c:manualLayout>
                  <c:x val="0.1041667760279965"/>
                  <c:y val="-2.8460531741336344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15:layout>
                    <c:manualLayout>
                      <c:w val="0.27470844269466316"/>
                      <c:h val="0.16877115695219283"/>
                    </c:manualLayout>
                  </c15:layout>
                </c:ext>
                <c:ext xmlns:c16="http://schemas.microsoft.com/office/drawing/2014/chart" uri="{C3380CC4-5D6E-409C-BE32-E72D297353CC}">
                  <c16:uniqueId val="{00000007-A15D-4021-AC21-F9E338DDF423}"/>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Sheet1!$G$21:$J$21</c:f>
              <c:strCache>
                <c:ptCount val="4"/>
                <c:pt idx="0">
                  <c:v>prasība apmierināta pilnībā</c:v>
                </c:pt>
                <c:pt idx="1">
                  <c:v>prasība apmierināta daļēji]</c:v>
                </c:pt>
                <c:pt idx="2">
                  <c:v>prasība noraidīta</c:v>
                </c:pt>
                <c:pt idx="3">
                  <c:v>izbeigts pierādījumu trūkuma dēļ</c:v>
                </c:pt>
              </c:strCache>
            </c:strRef>
          </c:cat>
          <c:val>
            <c:numRef>
              <c:f>Sheet1!$G$22:$J$22</c:f>
              <c:numCache>
                <c:formatCode>General</c:formatCode>
                <c:ptCount val="4"/>
                <c:pt idx="0">
                  <c:v>103</c:v>
                </c:pt>
                <c:pt idx="1">
                  <c:v>21</c:v>
                </c:pt>
                <c:pt idx="2">
                  <c:v>19</c:v>
                </c:pt>
                <c:pt idx="3">
                  <c:v>11</c:v>
                </c:pt>
              </c:numCache>
            </c:numRef>
          </c:val>
          <c:extLst>
            <c:ext xmlns:c16="http://schemas.microsoft.com/office/drawing/2014/chart" uri="{C3380CC4-5D6E-409C-BE32-E72D297353CC}">
              <c16:uniqueId val="{00000008-A15D-4021-AC21-F9E338DDF423}"/>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6295</Words>
  <Characters>3589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Bērante-Sukaruka</dc:creator>
  <cp:keywords/>
  <dc:description/>
  <cp:lastModifiedBy>Eva Eglīte</cp:lastModifiedBy>
  <cp:revision>2</cp:revision>
  <dcterms:created xsi:type="dcterms:W3CDTF">2024-02-28T16:18:00Z</dcterms:created>
  <dcterms:modified xsi:type="dcterms:W3CDTF">2024-02-28T16:18:00Z</dcterms:modified>
</cp:coreProperties>
</file>